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document.xml" ContentType="application/vnd.openxmlformats-officedocument.wordprocessingml.document.main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ListParagraph"/>
        <w:ind w:left="0" w:hanging="0"/>
        <w:jc w:val="center"/>
        <w:rPr/>
      </w:pPr>
      <w:r>
        <w:rPr/>
        <w:t>Информацион</w:t>
      </w:r>
      <w:bookmarkStart w:id="0" w:name="_GoBack"/>
      <w:bookmarkEnd w:id="0"/>
      <w:r>
        <w:rPr/>
        <w:t>но-аналитические материалы</w:t>
      </w:r>
    </w:p>
    <w:p>
      <w:pPr>
        <w:pStyle w:val="ListParagraph"/>
        <w:ind w:left="0" w:hanging="0"/>
        <w:jc w:val="center"/>
        <w:rPr/>
      </w:pPr>
      <w:r>
        <w:rPr/>
        <w:t xml:space="preserve"> </w:t>
      </w:r>
      <w:r>
        <w:rPr/>
        <w:t>о состоянии и проблемных вопросах антитеррористической защищенности объектов топливно-энергетического комплекса Мурманской области</w:t>
      </w:r>
    </w:p>
    <w:p>
      <w:pPr>
        <w:pStyle w:val="ListParagraph"/>
        <w:ind w:left="0" w:hanging="0"/>
        <w:jc w:val="center"/>
        <w:rPr/>
      </w:pPr>
      <w:r>
        <w:rPr/>
        <w:t xml:space="preserve"> </w:t>
      </w:r>
      <w:r>
        <w:rPr/>
        <w:t>за 2022 год.</w:t>
      </w:r>
    </w:p>
    <w:p>
      <w:pPr>
        <w:pStyle w:val="ListParagraph"/>
        <w:ind w:left="1080" w:hanging="0"/>
        <w:rPr/>
      </w:pPr>
      <w:r>
        <w:rPr/>
      </w:r>
    </w:p>
    <w:p>
      <w:pPr>
        <w:pStyle w:val="ListParagraph"/>
        <w:numPr>
          <w:ilvl w:val="0"/>
          <w:numId w:val="1"/>
        </w:numPr>
        <w:rPr/>
      </w:pPr>
      <w:r>
        <w:rPr/>
        <w:t>Статистическая часть</w:t>
      </w:r>
    </w:p>
    <w:tbl>
      <w:tblPr>
        <w:tblStyle w:val="1"/>
        <w:tblW w:w="9190" w:type="dxa"/>
        <w:jc w:val="left"/>
        <w:tblInd w:w="-113" w:type="dxa"/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816"/>
        <w:gridCol w:w="646"/>
        <w:gridCol w:w="475"/>
        <w:gridCol w:w="4790"/>
        <w:gridCol w:w="1230"/>
        <w:gridCol w:w="1232"/>
      </w:tblGrid>
      <w:tr>
        <w:trPr>
          <w:trHeight w:val="300" w:hRule="atLeast"/>
        </w:trPr>
        <w:tc>
          <w:tcPr>
            <w:tcW w:w="816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cs="Times New Roman" w:ascii="Calibri" w:hAnsi="Calibri"/>
                <w:b/>
                <w:sz w:val="22"/>
              </w:rPr>
              <w:t xml:space="preserve">№ </w:t>
            </w:r>
            <w:r>
              <w:rPr>
                <w:rFonts w:cs="Times New Roman" w:ascii="Calibri" w:hAnsi="Calibri"/>
                <w:b/>
                <w:sz w:val="22"/>
              </w:rPr>
              <w:t>п/п</w:t>
            </w:r>
          </w:p>
        </w:tc>
        <w:tc>
          <w:tcPr>
            <w:tcW w:w="5911" w:type="dxa"/>
            <w:gridSpan w:val="3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b/>
                <w:sz w:val="22"/>
              </w:rPr>
              <w:t>Наименование показателя</w:t>
            </w:r>
          </w:p>
        </w:tc>
        <w:tc>
          <w:tcPr>
            <w:tcW w:w="123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cs="Times New Roman" w:ascii="Calibri" w:hAnsi="Calibri"/>
                <w:b/>
                <w:sz w:val="22"/>
              </w:rPr>
              <w:t xml:space="preserve">2021 </w:t>
            </w:r>
            <w:r>
              <w:rPr>
                <w:rFonts w:cs="Times New Roman" w:ascii="Calibri" w:hAnsi="Calibri"/>
                <w:b/>
                <w:sz w:val="22"/>
              </w:rPr>
              <w:t>год</w:t>
            </w:r>
          </w:p>
        </w:tc>
        <w:tc>
          <w:tcPr>
            <w:tcW w:w="1232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cs="Times New Roman" w:ascii="Calibri" w:hAnsi="Calibri"/>
                <w:b/>
                <w:sz w:val="22"/>
                <w:lang w:val="en-US"/>
              </w:rPr>
              <w:t>На 15.12.</w:t>
            </w:r>
            <w:r>
              <w:rPr>
                <w:rFonts w:cs="Times New Roman" w:ascii="Calibri" w:hAnsi="Calibri"/>
                <w:b/>
                <w:sz w:val="22"/>
                <w:lang w:val="en-US"/>
              </w:rPr>
              <w:t>20</w:t>
            </w:r>
            <w:r>
              <w:rPr>
                <w:rFonts w:cs="Times New Roman" w:ascii="Calibri" w:hAnsi="Calibri"/>
                <w:b/>
                <w:sz w:val="22"/>
              </w:rPr>
              <w:t xml:space="preserve">22 </w:t>
            </w:r>
            <w:r>
              <w:rPr>
                <w:rFonts w:cs="Times New Roman" w:ascii="Calibri" w:hAnsi="Calibri"/>
                <w:b/>
                <w:sz w:val="22"/>
              </w:rPr>
              <w:t>года</w:t>
            </w:r>
          </w:p>
        </w:tc>
      </w:tr>
      <w:tr>
        <w:trPr>
          <w:trHeight w:val="567" w:hRule="atLeast"/>
        </w:trPr>
        <w:tc>
          <w:tcPr>
            <w:tcW w:w="816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1.</w:t>
            </w:r>
          </w:p>
        </w:tc>
        <w:tc>
          <w:tcPr>
            <w:tcW w:w="5911" w:type="dxa"/>
            <w:gridSpan w:val="3"/>
            <w:tcBorders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Общее количество проведенных проверок</w:t>
            </w:r>
          </w:p>
        </w:tc>
        <w:tc>
          <w:tcPr>
            <w:tcW w:w="123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eastAsia="Calibri" w:cs="Times New Roman" w:asciiTheme="minorHAnsi" w:hAnsiTheme="minorHAnsi"/>
                <w:color w:val="auto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Times New Roman" w:ascii="Calibri" w:hAnsi="Calibri"/>
                <w:color w:val="auto"/>
                <w:kern w:val="0"/>
                <w:sz w:val="22"/>
                <w:szCs w:val="22"/>
                <w:lang w:val="ru-RU" w:eastAsia="en-US" w:bidi="ar-SA"/>
              </w:rPr>
              <w:t>74</w:t>
            </w:r>
          </w:p>
        </w:tc>
        <w:tc>
          <w:tcPr>
            <w:tcW w:w="1232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eastAsia="Calibri" w:cs="Times New Roman" w:asciiTheme="minorHAnsi" w:hAnsiTheme="minorHAnsi"/>
                <w:color w:val="auto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Times New Roman" w:ascii="Calibri" w:hAnsi="Calibri"/>
                <w:color w:val="auto"/>
                <w:kern w:val="0"/>
                <w:sz w:val="22"/>
                <w:szCs w:val="22"/>
                <w:lang w:val="ru-RU" w:eastAsia="en-US" w:bidi="ar-SA"/>
              </w:rPr>
              <w:t>59</w:t>
            </w:r>
          </w:p>
        </w:tc>
      </w:tr>
      <w:tr>
        <w:trPr>
          <w:trHeight w:val="300" w:hRule="atLeast"/>
        </w:trPr>
        <w:tc>
          <w:tcPr>
            <w:tcW w:w="816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1.1</w:t>
            </w:r>
          </w:p>
        </w:tc>
        <w:tc>
          <w:tcPr>
            <w:tcW w:w="646" w:type="dxa"/>
            <w:vMerge w:val="restart"/>
            <w:tcBorders/>
            <w:textDirection w:val="btLr"/>
            <w:vAlign w:val="center"/>
          </w:tcPr>
          <w:p>
            <w:pPr>
              <w:pStyle w:val="Normal"/>
              <w:spacing w:lineRule="auto" w:line="240" w:before="0" w:after="0"/>
              <w:ind w:left="113" w:right="113"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из них</w:t>
            </w:r>
          </w:p>
        </w:tc>
        <w:tc>
          <w:tcPr>
            <w:tcW w:w="5265" w:type="dxa"/>
            <w:gridSpan w:val="2"/>
            <w:tcBorders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количество проведенных плановых проверок</w:t>
            </w:r>
          </w:p>
        </w:tc>
        <w:tc>
          <w:tcPr>
            <w:tcW w:w="123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eastAsia="Calibri" w:cs="Times New Roman" w:asciiTheme="minorHAnsi" w:hAnsiTheme="minorHAnsi"/>
                <w:color w:val="auto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Times New Roman" w:ascii="Calibri" w:hAnsi="Calibri"/>
                <w:color w:val="auto"/>
                <w:kern w:val="0"/>
                <w:sz w:val="22"/>
                <w:szCs w:val="22"/>
                <w:lang w:val="ru-RU" w:eastAsia="en-US" w:bidi="ar-SA"/>
              </w:rPr>
              <w:t>48</w:t>
            </w:r>
          </w:p>
        </w:tc>
        <w:tc>
          <w:tcPr>
            <w:tcW w:w="1232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Calibri" w:cs="Times New Roman" w:ascii="Calibri" w:hAnsi="Calibri" w:asciiTheme="minorHAnsi" w:hAnsiTheme="minorHAnsi"/>
                <w:color w:val="auto"/>
                <w:kern w:val="0"/>
                <w:sz w:val="22"/>
                <w:szCs w:val="22"/>
                <w:lang w:val="ru-RU" w:eastAsia="en-US" w:bidi="ar-SA"/>
              </w:rPr>
              <w:t>46</w:t>
            </w:r>
          </w:p>
        </w:tc>
      </w:tr>
      <w:tr>
        <w:trPr>
          <w:trHeight w:val="300" w:hRule="atLeast"/>
        </w:trPr>
        <w:tc>
          <w:tcPr>
            <w:tcW w:w="816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1.2.</w:t>
            </w:r>
          </w:p>
        </w:tc>
        <w:tc>
          <w:tcPr>
            <w:tcW w:w="646" w:type="dxa"/>
            <w:vMerge w:val="continue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cs="Times New Roman"/>
              </w:rPr>
            </w:pPr>
            <w:r>
              <w:rPr>
                <w:rFonts w:cs="Times New Roman" w:ascii="Calibri" w:hAnsi="Calibri"/>
              </w:rPr>
            </w:r>
          </w:p>
        </w:tc>
        <w:tc>
          <w:tcPr>
            <w:tcW w:w="5265" w:type="dxa"/>
            <w:gridSpan w:val="2"/>
            <w:tcBorders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количество проведенных внеплановых проверок</w:t>
            </w:r>
          </w:p>
        </w:tc>
        <w:tc>
          <w:tcPr>
            <w:tcW w:w="123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26</w:t>
            </w:r>
          </w:p>
        </w:tc>
        <w:tc>
          <w:tcPr>
            <w:tcW w:w="1232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1</w:t>
            </w:r>
            <w:r>
              <w:rPr>
                <w:rFonts w:cs="Times New Roman"/>
                <w:sz w:val="22"/>
              </w:rPr>
              <w:t>3</w:t>
            </w:r>
          </w:p>
        </w:tc>
      </w:tr>
      <w:tr>
        <w:trPr>
          <w:trHeight w:val="567" w:hRule="atLeast"/>
        </w:trPr>
        <w:tc>
          <w:tcPr>
            <w:tcW w:w="816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2.</w:t>
            </w:r>
          </w:p>
        </w:tc>
        <w:tc>
          <w:tcPr>
            <w:tcW w:w="5911" w:type="dxa"/>
            <w:gridSpan w:val="3"/>
            <w:tcBorders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Общее количество выявленных нарушений обязательных требований</w:t>
            </w:r>
          </w:p>
        </w:tc>
        <w:tc>
          <w:tcPr>
            <w:tcW w:w="123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eastAsia="Calibri" w:cs="Times New Roman" w:asciiTheme="minorHAnsi" w:hAnsiTheme="minorHAnsi"/>
                <w:color w:val="auto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Times New Roman" w:ascii="Calibri" w:hAnsi="Calibri"/>
                <w:color w:val="auto"/>
                <w:kern w:val="0"/>
                <w:sz w:val="22"/>
                <w:szCs w:val="22"/>
                <w:lang w:val="ru-RU" w:eastAsia="en-US" w:bidi="ar-SA"/>
              </w:rPr>
              <w:t>465</w:t>
            </w:r>
          </w:p>
        </w:tc>
        <w:tc>
          <w:tcPr>
            <w:tcW w:w="1232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40</w:t>
            </w:r>
          </w:p>
        </w:tc>
      </w:tr>
      <w:tr>
        <w:trPr>
          <w:trHeight w:val="270" w:hRule="atLeast"/>
        </w:trPr>
        <w:tc>
          <w:tcPr>
            <w:tcW w:w="816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2.1.</w:t>
            </w:r>
          </w:p>
        </w:tc>
        <w:tc>
          <w:tcPr>
            <w:tcW w:w="646" w:type="dxa"/>
            <w:vMerge w:val="restart"/>
            <w:tcBorders/>
            <w:textDirection w:val="btL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в том числе</w:t>
            </w:r>
          </w:p>
        </w:tc>
        <w:tc>
          <w:tcPr>
            <w:tcW w:w="5265" w:type="dxa"/>
            <w:gridSpan w:val="2"/>
            <w:tcBorders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к построению системы физической защиты объекта</w:t>
            </w:r>
          </w:p>
        </w:tc>
        <w:tc>
          <w:tcPr>
            <w:tcW w:w="123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asciiTheme="minorHAnsi" w:hAnsiTheme="minorHAnsi"/>
                <w:sz w:val="22"/>
              </w:rPr>
            </w:pPr>
            <w:r>
              <w:rPr>
                <w:rFonts w:ascii="Calibri" w:hAnsi="Calibri" w:asciiTheme="minorHAnsi" w:hAnsiTheme="minorHAnsi"/>
                <w:sz w:val="22"/>
              </w:rPr>
              <w:t>1</w:t>
            </w:r>
          </w:p>
        </w:tc>
        <w:tc>
          <w:tcPr>
            <w:tcW w:w="1232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asciiTheme="minorHAnsi" w:hAnsiTheme="minorHAnsi"/>
                <w:sz w:val="22"/>
              </w:rPr>
            </w:pPr>
            <w:r>
              <w:rPr>
                <w:rFonts w:ascii="Calibri" w:hAnsi="Calibri" w:asciiTheme="minorHAnsi" w:hAnsiTheme="minorHAnsi"/>
                <w:sz w:val="22"/>
              </w:rPr>
              <w:t>4</w:t>
            </w:r>
          </w:p>
        </w:tc>
      </w:tr>
      <w:tr>
        <w:trPr>
          <w:trHeight w:val="270" w:hRule="atLeast"/>
        </w:trPr>
        <w:tc>
          <w:tcPr>
            <w:tcW w:w="816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2.2.</w:t>
            </w:r>
          </w:p>
        </w:tc>
        <w:tc>
          <w:tcPr>
            <w:tcW w:w="646" w:type="dxa"/>
            <w:vMerge w:val="continue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/>
              </w:rPr>
            </w:r>
          </w:p>
        </w:tc>
        <w:tc>
          <w:tcPr>
            <w:tcW w:w="5265" w:type="dxa"/>
            <w:gridSpan w:val="2"/>
            <w:tcBorders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к инженерно-техническим средствам охраны</w:t>
            </w:r>
          </w:p>
        </w:tc>
        <w:tc>
          <w:tcPr>
            <w:tcW w:w="123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eastAsia="Calibri" w:cs="" w:asciiTheme="minorHAnsi" w:hAnsiTheme="minorHAnsi"/>
                <w:color w:val="auto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 w:ascii="Calibri" w:hAnsi="Calibri"/>
                <w:color w:val="auto"/>
                <w:kern w:val="0"/>
                <w:sz w:val="22"/>
                <w:szCs w:val="22"/>
                <w:lang w:val="ru-RU" w:eastAsia="en-US" w:bidi="ar-SA"/>
              </w:rPr>
              <w:t>446</w:t>
            </w:r>
          </w:p>
        </w:tc>
        <w:tc>
          <w:tcPr>
            <w:tcW w:w="1232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asciiTheme="minorHAnsi" w:hAnsiTheme="minorHAnsi"/>
                <w:sz w:val="22"/>
              </w:rPr>
            </w:pPr>
            <w:r>
              <w:rPr>
                <w:rFonts w:ascii="Calibri" w:hAnsi="Calibri" w:asciiTheme="minorHAnsi" w:hAnsiTheme="minorHAnsi"/>
                <w:sz w:val="22"/>
              </w:rPr>
              <w:t>36</w:t>
            </w:r>
          </w:p>
        </w:tc>
      </w:tr>
      <w:tr>
        <w:trPr>
          <w:trHeight w:val="270" w:hRule="atLeast"/>
        </w:trPr>
        <w:tc>
          <w:tcPr>
            <w:tcW w:w="816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2.2.1.</w:t>
            </w:r>
          </w:p>
        </w:tc>
        <w:tc>
          <w:tcPr>
            <w:tcW w:w="646" w:type="dxa"/>
            <w:vMerge w:val="continue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/>
              </w:rPr>
            </w:r>
          </w:p>
        </w:tc>
        <w:tc>
          <w:tcPr>
            <w:tcW w:w="475" w:type="dxa"/>
            <w:vMerge w:val="restart"/>
            <w:tcBorders/>
            <w:textDirection w:val="btL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из них</w:t>
            </w:r>
          </w:p>
        </w:tc>
        <w:tc>
          <w:tcPr>
            <w:tcW w:w="479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к инженерно-техническим средствам защиты</w:t>
            </w:r>
          </w:p>
        </w:tc>
        <w:tc>
          <w:tcPr>
            <w:tcW w:w="123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eastAsia="Calibri" w:cs="" w:asciiTheme="minorHAnsi" w:hAnsiTheme="minorHAnsi"/>
                <w:color w:val="auto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 w:ascii="Calibri" w:hAnsi="Calibri"/>
                <w:color w:val="auto"/>
                <w:kern w:val="0"/>
                <w:sz w:val="22"/>
                <w:szCs w:val="22"/>
                <w:lang w:val="ru-RU" w:eastAsia="en-US" w:bidi="ar-SA"/>
              </w:rPr>
              <w:t>205</w:t>
            </w:r>
          </w:p>
        </w:tc>
        <w:tc>
          <w:tcPr>
            <w:tcW w:w="1232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asciiTheme="minorHAnsi" w:hAnsiTheme="minorHAnsi"/>
                <w:sz w:val="22"/>
              </w:rPr>
            </w:pPr>
            <w:r>
              <w:rPr>
                <w:rFonts w:ascii="Calibri" w:hAnsi="Calibri" w:asciiTheme="minorHAnsi" w:hAnsiTheme="minorHAnsi"/>
                <w:sz w:val="22"/>
              </w:rPr>
              <w:t>16</w:t>
            </w:r>
          </w:p>
        </w:tc>
      </w:tr>
      <w:tr>
        <w:trPr>
          <w:trHeight w:val="270" w:hRule="atLeast"/>
        </w:trPr>
        <w:tc>
          <w:tcPr>
            <w:tcW w:w="816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2.2.2.</w:t>
            </w:r>
          </w:p>
        </w:tc>
        <w:tc>
          <w:tcPr>
            <w:tcW w:w="646" w:type="dxa"/>
            <w:vMerge w:val="continue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/>
              </w:rPr>
            </w:r>
          </w:p>
        </w:tc>
        <w:tc>
          <w:tcPr>
            <w:tcW w:w="475" w:type="dxa"/>
            <w:vMerge w:val="continue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/>
              </w:rPr>
            </w:r>
          </w:p>
        </w:tc>
        <w:tc>
          <w:tcPr>
            <w:tcW w:w="479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к системе охранной сигнализации объекта</w:t>
            </w:r>
          </w:p>
        </w:tc>
        <w:tc>
          <w:tcPr>
            <w:tcW w:w="123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eastAsia="Calibri" w:cs="" w:asciiTheme="minorHAnsi" w:hAnsiTheme="minorHAnsi"/>
                <w:color w:val="auto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 w:ascii="Calibri" w:hAnsi="Calibri"/>
                <w:color w:val="auto"/>
                <w:kern w:val="0"/>
                <w:sz w:val="22"/>
                <w:szCs w:val="22"/>
                <w:lang w:val="ru-RU" w:eastAsia="en-US" w:bidi="ar-SA"/>
              </w:rPr>
              <w:t>73</w:t>
            </w:r>
          </w:p>
        </w:tc>
        <w:tc>
          <w:tcPr>
            <w:tcW w:w="1232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asciiTheme="minorHAnsi" w:hAnsiTheme="minorHAnsi"/>
                <w:sz w:val="22"/>
              </w:rPr>
            </w:pPr>
            <w:r>
              <w:rPr>
                <w:rFonts w:ascii="Calibri" w:hAnsi="Calibri" w:asciiTheme="minorHAnsi" w:hAnsiTheme="minorHAnsi"/>
                <w:sz w:val="22"/>
              </w:rPr>
              <w:t>8</w:t>
            </w:r>
          </w:p>
        </w:tc>
      </w:tr>
      <w:tr>
        <w:trPr>
          <w:trHeight w:val="270" w:hRule="atLeast"/>
        </w:trPr>
        <w:tc>
          <w:tcPr>
            <w:tcW w:w="816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2.2.3.</w:t>
            </w:r>
          </w:p>
        </w:tc>
        <w:tc>
          <w:tcPr>
            <w:tcW w:w="646" w:type="dxa"/>
            <w:vMerge w:val="continue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/>
              </w:rPr>
            </w:r>
          </w:p>
        </w:tc>
        <w:tc>
          <w:tcPr>
            <w:tcW w:w="475" w:type="dxa"/>
            <w:vMerge w:val="continue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/>
              </w:rPr>
            </w:r>
          </w:p>
        </w:tc>
        <w:tc>
          <w:tcPr>
            <w:tcW w:w="479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к системе сбора и обработки информации</w:t>
            </w:r>
          </w:p>
        </w:tc>
        <w:tc>
          <w:tcPr>
            <w:tcW w:w="123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asciiTheme="minorHAnsi" w:hAnsiTheme="minorHAnsi"/>
                <w:sz w:val="22"/>
              </w:rPr>
            </w:pPr>
            <w:r>
              <w:rPr>
                <w:rFonts w:asciiTheme="minorHAnsi" w:hAnsiTheme="minorHAnsi" w:ascii="Calibri" w:hAnsi="Calibri"/>
                <w:sz w:val="22"/>
              </w:rPr>
              <w:t>1</w:t>
            </w:r>
            <w:r>
              <w:rPr>
                <w:rFonts w:ascii="Calibri" w:hAnsi="Calibri" w:asciiTheme="minorHAnsi" w:hAnsiTheme="minorHAnsi"/>
                <w:sz w:val="22"/>
              </w:rPr>
              <w:t>6</w:t>
            </w:r>
          </w:p>
        </w:tc>
        <w:tc>
          <w:tcPr>
            <w:tcW w:w="1232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asciiTheme="minorHAnsi" w:hAnsiTheme="minorHAnsi"/>
                <w:sz w:val="22"/>
              </w:rPr>
            </w:pPr>
            <w:r>
              <w:rPr>
                <w:rFonts w:ascii="Calibri" w:hAnsi="Calibri" w:asciiTheme="minorHAnsi" w:hAnsiTheme="minorHAnsi"/>
                <w:sz w:val="22"/>
              </w:rPr>
              <w:t>0</w:t>
            </w:r>
          </w:p>
        </w:tc>
      </w:tr>
      <w:tr>
        <w:trPr>
          <w:trHeight w:val="270" w:hRule="atLeast"/>
        </w:trPr>
        <w:tc>
          <w:tcPr>
            <w:tcW w:w="816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2.2.4.</w:t>
            </w:r>
          </w:p>
        </w:tc>
        <w:tc>
          <w:tcPr>
            <w:tcW w:w="646" w:type="dxa"/>
            <w:vMerge w:val="continue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/>
              </w:rPr>
            </w:r>
          </w:p>
        </w:tc>
        <w:tc>
          <w:tcPr>
            <w:tcW w:w="475" w:type="dxa"/>
            <w:vMerge w:val="continue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/>
              </w:rPr>
            </w:r>
          </w:p>
        </w:tc>
        <w:tc>
          <w:tcPr>
            <w:tcW w:w="479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к системе контроля и управления доступом</w:t>
            </w:r>
          </w:p>
        </w:tc>
        <w:tc>
          <w:tcPr>
            <w:tcW w:w="123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asciiTheme="minorHAnsi" w:hAnsiTheme="minorHAnsi"/>
                <w:sz w:val="22"/>
              </w:rPr>
            </w:pPr>
            <w:r>
              <w:rPr>
                <w:rFonts w:asciiTheme="minorHAnsi" w:hAnsiTheme="minorHAnsi" w:ascii="Calibri" w:hAnsi="Calibri"/>
                <w:sz w:val="22"/>
              </w:rPr>
              <w:t>21</w:t>
            </w:r>
          </w:p>
        </w:tc>
        <w:tc>
          <w:tcPr>
            <w:tcW w:w="1232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asciiTheme="minorHAnsi" w:hAnsiTheme="minorHAnsi"/>
                <w:sz w:val="22"/>
              </w:rPr>
            </w:pPr>
            <w:r>
              <w:rPr>
                <w:rFonts w:ascii="Calibri" w:hAnsi="Calibri" w:asciiTheme="minorHAnsi" w:hAnsiTheme="minorHAnsi"/>
                <w:sz w:val="22"/>
              </w:rPr>
              <w:t>3</w:t>
            </w:r>
          </w:p>
        </w:tc>
      </w:tr>
      <w:tr>
        <w:trPr>
          <w:trHeight w:val="270" w:hRule="atLeast"/>
        </w:trPr>
        <w:tc>
          <w:tcPr>
            <w:tcW w:w="816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2.2.5.</w:t>
            </w:r>
          </w:p>
        </w:tc>
        <w:tc>
          <w:tcPr>
            <w:tcW w:w="646" w:type="dxa"/>
            <w:vMerge w:val="continue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/>
              </w:rPr>
            </w:r>
          </w:p>
        </w:tc>
        <w:tc>
          <w:tcPr>
            <w:tcW w:w="475" w:type="dxa"/>
            <w:vMerge w:val="continue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/>
              </w:rPr>
            </w:r>
          </w:p>
        </w:tc>
        <w:tc>
          <w:tcPr>
            <w:tcW w:w="479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к специальным техническим средствам досмотра</w:t>
            </w:r>
          </w:p>
        </w:tc>
        <w:tc>
          <w:tcPr>
            <w:tcW w:w="123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eastAsia="Calibri" w:cs="" w:asciiTheme="minorHAnsi" w:hAnsiTheme="minorHAnsi"/>
                <w:color w:val="auto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 w:ascii="Calibri" w:hAnsi="Calibri"/>
                <w:color w:val="auto"/>
                <w:kern w:val="0"/>
                <w:sz w:val="22"/>
                <w:szCs w:val="22"/>
                <w:lang w:val="ru-RU" w:eastAsia="en-US" w:bidi="ar-SA"/>
              </w:rPr>
              <w:t>8</w:t>
            </w:r>
          </w:p>
        </w:tc>
        <w:tc>
          <w:tcPr>
            <w:tcW w:w="1232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asciiTheme="minorHAnsi" w:hAnsiTheme="minorHAnsi"/>
                <w:sz w:val="22"/>
              </w:rPr>
            </w:pPr>
            <w:r>
              <w:rPr>
                <w:rFonts w:ascii="Calibri" w:hAnsi="Calibri" w:asciiTheme="minorHAnsi" w:hAnsiTheme="minorHAnsi"/>
                <w:sz w:val="22"/>
              </w:rPr>
              <w:t>3</w:t>
            </w:r>
          </w:p>
        </w:tc>
      </w:tr>
      <w:tr>
        <w:trPr>
          <w:trHeight w:val="270" w:hRule="atLeast"/>
        </w:trPr>
        <w:tc>
          <w:tcPr>
            <w:tcW w:w="816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2.2.6.</w:t>
            </w:r>
          </w:p>
        </w:tc>
        <w:tc>
          <w:tcPr>
            <w:tcW w:w="646" w:type="dxa"/>
            <w:vMerge w:val="continue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/>
              </w:rPr>
            </w:r>
          </w:p>
        </w:tc>
        <w:tc>
          <w:tcPr>
            <w:tcW w:w="475" w:type="dxa"/>
            <w:vMerge w:val="continue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/>
              </w:rPr>
            </w:r>
          </w:p>
        </w:tc>
        <w:tc>
          <w:tcPr>
            <w:tcW w:w="479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к системе охранной телевизионной</w:t>
            </w:r>
          </w:p>
        </w:tc>
        <w:tc>
          <w:tcPr>
            <w:tcW w:w="123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eastAsia="Calibri" w:cs="" w:asciiTheme="minorHAnsi" w:hAnsiTheme="minorHAnsi"/>
                <w:color w:val="auto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 w:ascii="Calibri" w:hAnsi="Calibri"/>
                <w:color w:val="auto"/>
                <w:kern w:val="0"/>
                <w:sz w:val="22"/>
                <w:szCs w:val="22"/>
                <w:lang w:val="ru-RU" w:eastAsia="en-US" w:bidi="ar-SA"/>
              </w:rPr>
              <w:t>34</w:t>
            </w:r>
          </w:p>
        </w:tc>
        <w:tc>
          <w:tcPr>
            <w:tcW w:w="1232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asciiTheme="minorHAnsi" w:hAnsiTheme="minorHAnsi"/>
                <w:sz w:val="22"/>
              </w:rPr>
            </w:pPr>
            <w:r>
              <w:rPr>
                <w:rFonts w:ascii="Calibri" w:hAnsi="Calibri" w:asciiTheme="minorHAnsi" w:hAnsiTheme="minorHAnsi"/>
                <w:sz w:val="22"/>
              </w:rPr>
              <w:t>1</w:t>
            </w:r>
          </w:p>
        </w:tc>
      </w:tr>
      <w:tr>
        <w:trPr>
          <w:trHeight w:val="330" w:hRule="atLeast"/>
        </w:trPr>
        <w:tc>
          <w:tcPr>
            <w:tcW w:w="816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2.2.7.</w:t>
            </w:r>
          </w:p>
        </w:tc>
        <w:tc>
          <w:tcPr>
            <w:tcW w:w="646" w:type="dxa"/>
            <w:vMerge w:val="continue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/>
              </w:rPr>
            </w:r>
          </w:p>
        </w:tc>
        <w:tc>
          <w:tcPr>
            <w:tcW w:w="475" w:type="dxa"/>
            <w:vMerge w:val="continue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/>
              </w:rPr>
            </w:r>
          </w:p>
        </w:tc>
        <w:tc>
          <w:tcPr>
            <w:tcW w:w="479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к системе оперативной связи</w:t>
            </w:r>
          </w:p>
        </w:tc>
        <w:tc>
          <w:tcPr>
            <w:tcW w:w="123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eastAsia="Calibri" w:cs="" w:asciiTheme="minorHAnsi" w:hAnsiTheme="minorHAnsi"/>
                <w:color w:val="auto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 w:ascii="Calibri" w:hAnsi="Calibri"/>
                <w:color w:val="auto"/>
                <w:kern w:val="0"/>
                <w:sz w:val="22"/>
                <w:szCs w:val="22"/>
                <w:lang w:val="ru-RU" w:eastAsia="en-US" w:bidi="ar-SA"/>
              </w:rPr>
              <w:t>56</w:t>
            </w:r>
          </w:p>
        </w:tc>
        <w:tc>
          <w:tcPr>
            <w:tcW w:w="1232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asciiTheme="minorHAnsi" w:hAnsiTheme="minorHAnsi"/>
                <w:sz w:val="22"/>
              </w:rPr>
            </w:pPr>
            <w:r>
              <w:rPr>
                <w:rFonts w:ascii="Calibri" w:hAnsi="Calibri" w:asciiTheme="minorHAnsi" w:hAnsiTheme="minorHAnsi"/>
                <w:sz w:val="22"/>
              </w:rPr>
              <w:t>0</w:t>
            </w:r>
          </w:p>
        </w:tc>
      </w:tr>
      <w:tr>
        <w:trPr>
          <w:trHeight w:val="345" w:hRule="atLeast"/>
        </w:trPr>
        <w:tc>
          <w:tcPr>
            <w:tcW w:w="816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2.2.8.</w:t>
            </w:r>
          </w:p>
        </w:tc>
        <w:tc>
          <w:tcPr>
            <w:tcW w:w="646" w:type="dxa"/>
            <w:vMerge w:val="continue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/>
              </w:rPr>
            </w:r>
          </w:p>
        </w:tc>
        <w:tc>
          <w:tcPr>
            <w:tcW w:w="475" w:type="dxa"/>
            <w:vMerge w:val="continue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/>
              </w:rPr>
            </w:r>
          </w:p>
        </w:tc>
        <w:tc>
          <w:tcPr>
            <w:tcW w:w="479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к системе охранного освещения</w:t>
            </w:r>
          </w:p>
        </w:tc>
        <w:tc>
          <w:tcPr>
            <w:tcW w:w="123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eastAsia="Calibri" w:cs="" w:asciiTheme="minorHAnsi" w:hAnsiTheme="minorHAnsi"/>
                <w:color w:val="auto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 w:ascii="Calibri" w:hAnsi="Calibri"/>
                <w:color w:val="auto"/>
                <w:kern w:val="0"/>
                <w:sz w:val="22"/>
                <w:szCs w:val="22"/>
                <w:lang w:val="ru-RU" w:eastAsia="en-US" w:bidi="ar-SA"/>
              </w:rPr>
              <w:t>20</w:t>
            </w:r>
          </w:p>
        </w:tc>
        <w:tc>
          <w:tcPr>
            <w:tcW w:w="1232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asciiTheme="minorHAnsi" w:hAnsiTheme="minorHAnsi"/>
                <w:sz w:val="22"/>
              </w:rPr>
            </w:pPr>
            <w:r>
              <w:rPr>
                <w:rFonts w:ascii="Calibri" w:hAnsi="Calibri" w:asciiTheme="minorHAnsi" w:hAnsiTheme="minorHAnsi"/>
                <w:sz w:val="22"/>
              </w:rPr>
              <w:t>3</w:t>
            </w:r>
          </w:p>
        </w:tc>
      </w:tr>
      <w:tr>
        <w:trPr>
          <w:trHeight w:val="360" w:hRule="atLeast"/>
        </w:trPr>
        <w:tc>
          <w:tcPr>
            <w:tcW w:w="816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2.2.9.</w:t>
            </w:r>
          </w:p>
        </w:tc>
        <w:tc>
          <w:tcPr>
            <w:tcW w:w="646" w:type="dxa"/>
            <w:vMerge w:val="continue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/>
              </w:rPr>
            </w:r>
          </w:p>
        </w:tc>
        <w:tc>
          <w:tcPr>
            <w:tcW w:w="475" w:type="dxa"/>
            <w:vMerge w:val="continue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/>
              </w:rPr>
            </w:r>
          </w:p>
        </w:tc>
        <w:tc>
          <w:tcPr>
            <w:tcW w:w="479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к системе оповещения</w:t>
            </w:r>
          </w:p>
        </w:tc>
        <w:tc>
          <w:tcPr>
            <w:tcW w:w="123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eastAsia="Calibri" w:cs="" w:asciiTheme="minorHAnsi" w:hAnsiTheme="minorHAnsi"/>
                <w:color w:val="auto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 w:ascii="Calibri" w:hAnsi="Calibri"/>
                <w:color w:val="auto"/>
                <w:kern w:val="0"/>
                <w:sz w:val="22"/>
                <w:szCs w:val="22"/>
                <w:lang w:val="ru-RU" w:eastAsia="en-US" w:bidi="ar-SA"/>
              </w:rPr>
              <w:t>3</w:t>
            </w:r>
          </w:p>
        </w:tc>
        <w:tc>
          <w:tcPr>
            <w:tcW w:w="1232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asciiTheme="minorHAnsi" w:hAnsiTheme="minorHAnsi"/>
                <w:sz w:val="22"/>
              </w:rPr>
            </w:pPr>
            <w:r>
              <w:rPr>
                <w:rFonts w:ascii="Calibri" w:hAnsi="Calibri" w:asciiTheme="minorHAnsi" w:hAnsiTheme="minorHAnsi"/>
                <w:sz w:val="22"/>
              </w:rPr>
              <w:t>2</w:t>
            </w:r>
          </w:p>
        </w:tc>
      </w:tr>
      <w:tr>
        <w:trPr>
          <w:trHeight w:val="375" w:hRule="atLeast"/>
        </w:trPr>
        <w:tc>
          <w:tcPr>
            <w:tcW w:w="816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2.2.10.</w:t>
            </w:r>
          </w:p>
        </w:tc>
        <w:tc>
          <w:tcPr>
            <w:tcW w:w="646" w:type="dxa"/>
            <w:vMerge w:val="continue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/>
              </w:rPr>
            </w:r>
          </w:p>
        </w:tc>
        <w:tc>
          <w:tcPr>
            <w:tcW w:w="475" w:type="dxa"/>
            <w:vMerge w:val="continue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/>
              </w:rPr>
            </w:r>
          </w:p>
        </w:tc>
        <w:tc>
          <w:tcPr>
            <w:tcW w:w="479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к системе электропитания</w:t>
            </w:r>
          </w:p>
        </w:tc>
        <w:tc>
          <w:tcPr>
            <w:tcW w:w="123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eastAsia="Calibri" w:cs="" w:asciiTheme="minorHAnsi" w:hAnsiTheme="minorHAnsi"/>
                <w:color w:val="auto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 w:ascii="Calibri" w:hAnsi="Calibri"/>
                <w:color w:val="auto"/>
                <w:kern w:val="0"/>
                <w:sz w:val="22"/>
                <w:szCs w:val="22"/>
                <w:lang w:val="ru-RU" w:eastAsia="en-US" w:bidi="ar-SA"/>
              </w:rPr>
              <w:t>10</w:t>
            </w:r>
          </w:p>
        </w:tc>
        <w:tc>
          <w:tcPr>
            <w:tcW w:w="1232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asciiTheme="minorHAnsi" w:hAnsiTheme="minorHAnsi"/>
                <w:sz w:val="22"/>
              </w:rPr>
            </w:pPr>
            <w:r>
              <w:rPr>
                <w:rFonts w:ascii="Calibri" w:hAnsi="Calibri" w:asciiTheme="minorHAnsi" w:hAnsiTheme="minorHAnsi"/>
                <w:sz w:val="22"/>
              </w:rPr>
              <w:t>0</w:t>
            </w:r>
          </w:p>
        </w:tc>
      </w:tr>
      <w:tr>
        <w:trPr>
          <w:trHeight w:val="300" w:hRule="atLeast"/>
        </w:trPr>
        <w:tc>
          <w:tcPr>
            <w:tcW w:w="816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2.2.11.</w:t>
            </w:r>
          </w:p>
        </w:tc>
        <w:tc>
          <w:tcPr>
            <w:tcW w:w="646" w:type="dxa"/>
            <w:vMerge w:val="continue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/>
              </w:rPr>
            </w:r>
          </w:p>
        </w:tc>
        <w:tc>
          <w:tcPr>
            <w:tcW w:w="5265" w:type="dxa"/>
            <w:gridSpan w:val="2"/>
            <w:tcBorders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иных</w:t>
            </w:r>
          </w:p>
        </w:tc>
        <w:tc>
          <w:tcPr>
            <w:tcW w:w="123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cs="Times New Roman" w:ascii="Calibri" w:hAnsi="Calibri"/>
                <w:sz w:val="22"/>
              </w:rPr>
              <w:t>1</w:t>
            </w:r>
            <w:r>
              <w:rPr>
                <w:rFonts w:cs="Times New Roman"/>
                <w:sz w:val="22"/>
              </w:rPr>
              <w:t>8</w:t>
            </w:r>
          </w:p>
        </w:tc>
        <w:tc>
          <w:tcPr>
            <w:tcW w:w="1232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cs="Times New Roman" w:ascii="Calibri" w:hAnsi="Calibri"/>
                <w:sz w:val="22"/>
              </w:rPr>
              <w:t>0</w:t>
            </w:r>
          </w:p>
        </w:tc>
      </w:tr>
      <w:tr>
        <w:trPr>
          <w:trHeight w:val="833" w:hRule="atLeast"/>
        </w:trPr>
        <w:tc>
          <w:tcPr>
            <w:tcW w:w="816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3.</w:t>
            </w:r>
          </w:p>
        </w:tc>
        <w:tc>
          <w:tcPr>
            <w:tcW w:w="5911" w:type="dxa"/>
            <w:gridSpan w:val="3"/>
            <w:tcBorders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Общее количество выданных предписаний об устранении нарушений в обеспечении безопасности и антитеррористической защищенности объектов ТЭК</w:t>
            </w:r>
          </w:p>
        </w:tc>
        <w:tc>
          <w:tcPr>
            <w:tcW w:w="123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cs="Times New Roman" w:ascii="Calibri" w:hAnsi="Calibri"/>
                <w:sz w:val="22"/>
                <w:lang w:val="en-US"/>
              </w:rPr>
              <w:t>11</w:t>
            </w:r>
          </w:p>
        </w:tc>
        <w:tc>
          <w:tcPr>
            <w:tcW w:w="1232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eastAsia="Calibri" w:cs="Times New Roman" w:asciiTheme="minorHAnsi" w:hAnsiTheme="minorHAnsi"/>
                <w:color w:val="auto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Times New Roman" w:ascii="Calibri" w:hAnsi="Calibri"/>
                <w:color w:val="auto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</w:tr>
      <w:tr>
        <w:trPr>
          <w:trHeight w:val="833" w:hRule="atLeast"/>
        </w:trPr>
        <w:tc>
          <w:tcPr>
            <w:tcW w:w="816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4.</w:t>
            </w:r>
          </w:p>
        </w:tc>
        <w:tc>
          <w:tcPr>
            <w:tcW w:w="5911" w:type="dxa"/>
            <w:gridSpan w:val="3"/>
            <w:tcBorders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Общее количество составленных протоколов об административных правонарушениях, предусмотренных статьей 20.30 КоАП</w:t>
            </w:r>
          </w:p>
        </w:tc>
        <w:tc>
          <w:tcPr>
            <w:tcW w:w="123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cs="Times New Roman" w:ascii="Calibri" w:hAnsi="Calibri"/>
                <w:sz w:val="22"/>
                <w:lang w:val="en-US"/>
              </w:rPr>
              <w:t>3</w:t>
            </w:r>
          </w:p>
        </w:tc>
        <w:tc>
          <w:tcPr>
            <w:tcW w:w="1232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cs="Times New Roman" w:ascii="Calibri" w:hAnsi="Calibri"/>
                <w:sz w:val="22"/>
                <w:lang w:val="en-US"/>
              </w:rPr>
              <w:t>3</w:t>
            </w:r>
          </w:p>
        </w:tc>
      </w:tr>
      <w:tr>
        <w:trPr>
          <w:trHeight w:val="833" w:hRule="atLeast"/>
        </w:trPr>
        <w:tc>
          <w:tcPr>
            <w:tcW w:w="816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5.</w:t>
            </w:r>
          </w:p>
        </w:tc>
        <w:tc>
          <w:tcPr>
            <w:tcW w:w="5911" w:type="dxa"/>
            <w:gridSpan w:val="3"/>
            <w:tcBorders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Общее количество административных наказаний, назначенных судебными органами по итогам плановых проверок</w:t>
            </w:r>
          </w:p>
        </w:tc>
        <w:tc>
          <w:tcPr>
            <w:tcW w:w="123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cs="Times New Roman" w:ascii="Calibri" w:hAnsi="Calibri"/>
                <w:sz w:val="22"/>
                <w:lang w:val="en-US"/>
              </w:rPr>
              <w:t>0</w:t>
            </w:r>
          </w:p>
        </w:tc>
        <w:tc>
          <w:tcPr>
            <w:tcW w:w="1232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eastAsia="Calibri" w:cs="Times New Roman"/>
                <w:color w:val="auto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Times New Roman" w:ascii="Calibri" w:hAnsi="Calibri"/>
                <w:color w:val="auto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</w:tr>
      <w:tr>
        <w:trPr>
          <w:trHeight w:val="833" w:hRule="atLeast"/>
        </w:trPr>
        <w:tc>
          <w:tcPr>
            <w:tcW w:w="816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cs="Times New Roman"/>
              </w:rPr>
            </w:pPr>
            <w:r>
              <w:rPr>
                <w:rFonts w:cs="Times New Roman" w:ascii="Calibri" w:hAnsi="Calibri"/>
                <w:sz w:val="22"/>
              </w:rPr>
              <w:t>6.</w:t>
            </w:r>
          </w:p>
        </w:tc>
        <w:tc>
          <w:tcPr>
            <w:tcW w:w="5911" w:type="dxa"/>
            <w:gridSpan w:val="3"/>
            <w:tcBorders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Общее количество составленных в отношении должностных лиц протоколов об административных правонарушениях, предусмотренных статьей 19.5 КоАП</w:t>
            </w:r>
          </w:p>
        </w:tc>
        <w:tc>
          <w:tcPr>
            <w:tcW w:w="123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6</w:t>
            </w:r>
          </w:p>
        </w:tc>
        <w:tc>
          <w:tcPr>
            <w:tcW w:w="1232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1</w:t>
            </w:r>
            <w:r>
              <w:rPr>
                <w:rFonts w:cs="Times New Roman"/>
                <w:sz w:val="22"/>
              </w:rPr>
              <w:t>2</w:t>
            </w:r>
          </w:p>
        </w:tc>
      </w:tr>
      <w:tr>
        <w:trPr>
          <w:trHeight w:val="833" w:hRule="atLeast"/>
        </w:trPr>
        <w:tc>
          <w:tcPr>
            <w:tcW w:w="816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cs="Times New Roman"/>
              </w:rPr>
            </w:pPr>
            <w:r>
              <w:rPr>
                <w:rFonts w:cs="Times New Roman" w:ascii="Calibri" w:hAnsi="Calibri"/>
                <w:sz w:val="22"/>
              </w:rPr>
              <w:t>7.</w:t>
            </w:r>
          </w:p>
        </w:tc>
        <w:tc>
          <w:tcPr>
            <w:tcW w:w="5911" w:type="dxa"/>
            <w:gridSpan w:val="3"/>
            <w:tcBorders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Общее количество административных наказаний, назначенных по итогам внеплановых проверок</w:t>
            </w:r>
          </w:p>
        </w:tc>
        <w:tc>
          <w:tcPr>
            <w:tcW w:w="123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6</w:t>
            </w:r>
          </w:p>
        </w:tc>
        <w:tc>
          <w:tcPr>
            <w:tcW w:w="1232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1</w:t>
            </w:r>
            <w:r>
              <w:rPr>
                <w:rFonts w:cs="Times New Roman"/>
                <w:sz w:val="22"/>
              </w:rPr>
              <w:t>2</w:t>
            </w:r>
          </w:p>
        </w:tc>
      </w:tr>
      <w:tr>
        <w:trPr>
          <w:trHeight w:val="833" w:hRule="atLeast"/>
        </w:trPr>
        <w:tc>
          <w:tcPr>
            <w:tcW w:w="816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8.</w:t>
            </w:r>
          </w:p>
        </w:tc>
        <w:tc>
          <w:tcPr>
            <w:tcW w:w="5911" w:type="dxa"/>
            <w:gridSpan w:val="3"/>
            <w:tcBorders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Общее количество штатных единиц по должностям, предусматривающим функции по федеральному государственному контролю (надзору)</w:t>
            </w:r>
          </w:p>
        </w:tc>
        <w:tc>
          <w:tcPr>
            <w:tcW w:w="123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8</w:t>
            </w:r>
          </w:p>
        </w:tc>
        <w:tc>
          <w:tcPr>
            <w:tcW w:w="1232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8</w:t>
            </w:r>
          </w:p>
        </w:tc>
      </w:tr>
    </w:tbl>
    <w:p>
      <w:pPr>
        <w:pStyle w:val="Normal"/>
        <w:spacing w:before="240" w:after="160"/>
        <w:ind w:left="1077" w:hanging="0"/>
        <w:rPr>
          <w:sz w:val="27"/>
          <w:szCs w:val="27"/>
        </w:rPr>
      </w:pPr>
      <w:r>
        <w:rPr>
          <w:sz w:val="27"/>
          <w:szCs w:val="27"/>
          <w:lang w:val="en-US"/>
        </w:rPr>
        <w:t>II</w:t>
      </w:r>
      <w:r>
        <w:rPr>
          <w:sz w:val="27"/>
          <w:szCs w:val="27"/>
        </w:rPr>
        <w:t>. Аналитическая часть</w:t>
      </w:r>
    </w:p>
    <w:p>
      <w:pPr>
        <w:pStyle w:val="Normal"/>
        <w:spacing w:lineRule="auto" w:line="240" w:before="0" w:after="0"/>
        <w:ind w:firstLine="902"/>
        <w:jc w:val="both"/>
        <w:rPr>
          <w:sz w:val="27"/>
          <w:szCs w:val="27"/>
        </w:rPr>
      </w:pPr>
      <w:r>
        <w:rPr>
          <w:sz w:val="27"/>
          <w:szCs w:val="27"/>
        </w:rPr>
        <w:t>Порядок организации и проведения проверок объектов топливно-энергетического комплекса</w:t>
      </w:r>
      <w:r>
        <w:rPr>
          <w:rStyle w:val="Style15"/>
          <w:sz w:val="27"/>
          <w:szCs w:val="27"/>
        </w:rPr>
        <w:footnoteReference w:id="2"/>
      </w:r>
      <w:r>
        <w:rPr>
          <w:sz w:val="27"/>
          <w:szCs w:val="27"/>
        </w:rPr>
        <w:t xml:space="preserve"> регламентируется Федеральным законом от 21 июля 2011 года № 256-ФЗ «О безопасности объектов ТЭК» и раскрывается положениями постановления Правительства РФ от 20 октября 2016 г. № 1067 «Об утверждении правил осуществления Федеральной службой войск национальной гвардии Российской Федерации и её территориальными органами федерального государственного контроля (надзора) за обеспечением безопасности объектов ТЭК»:</w:t>
      </w:r>
    </w:p>
    <w:p>
      <w:pPr>
        <w:pStyle w:val="Normal"/>
        <w:spacing w:lineRule="auto" w:line="240" w:before="0" w:after="0"/>
        <w:ind w:firstLine="902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Согласно п. 3 раздела </w:t>
      </w:r>
      <w:r>
        <w:rPr>
          <w:sz w:val="27"/>
          <w:szCs w:val="27"/>
          <w:lang w:val="en-US"/>
        </w:rPr>
        <w:t>I</w:t>
      </w:r>
      <w:r>
        <w:rPr>
          <w:sz w:val="27"/>
          <w:szCs w:val="27"/>
        </w:rPr>
        <w:t xml:space="preserve"> данного постановления государственный контроль (надзор) осуществляется путем проведения документарных и выездных проверок, которые могут носить плановый и внеплановый характер.</w:t>
      </w:r>
    </w:p>
    <w:p>
      <w:pPr>
        <w:pStyle w:val="Normal"/>
        <w:spacing w:lineRule="auto" w:line="240" w:before="0" w:after="0"/>
        <w:ind w:firstLine="902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Согласно п. 9 раздела </w:t>
      </w:r>
      <w:r>
        <w:rPr>
          <w:sz w:val="27"/>
          <w:szCs w:val="27"/>
          <w:lang w:val="en-US"/>
        </w:rPr>
        <w:t>II</w:t>
      </w:r>
      <w:r>
        <w:rPr>
          <w:sz w:val="27"/>
          <w:szCs w:val="27"/>
        </w:rPr>
        <w:t xml:space="preserve"> - </w:t>
      </w:r>
      <w:r>
        <w:rPr>
          <w:rFonts w:eastAsia="Calibri" w:cs="" w:ascii="Times New Roman" w:hAnsi="Times New Roman" w:cstheme="minorBidi" w:eastAsiaTheme="minorHAnsi"/>
          <w:b w:val="false"/>
          <w:color w:val="auto"/>
          <w:kern w:val="0"/>
          <w:sz w:val="27"/>
          <w:szCs w:val="27"/>
          <w:lang w:val="ru-RU" w:eastAsia="en-US" w:bidi="ar-SA"/>
        </w:rPr>
        <w:t>п</w:t>
      </w:r>
      <w:r>
        <w:rPr>
          <w:rFonts w:ascii="Times New Roman" w:hAnsi="Times New Roman"/>
          <w:b w:val="false"/>
          <w:sz w:val="27"/>
          <w:szCs w:val="27"/>
        </w:rPr>
        <w:t>лановая проверка в отношении объектов топливно-энергетического комплекса проводится не чаще одного раза в год для объектов топливно-энергетического комплекса высокой и средней категории опасности и одного раза в 3 года для объектов топливно-энергетического комплекса низкой категории опасности, начиная с даты окончания предыдущей проверки, а в случае если срок исполнения ранее выданного предписания об устранении выявленных нарушений не истек, - не ранее окончания срока его исполнения.</w:t>
      </w:r>
    </w:p>
    <w:p>
      <w:pPr>
        <w:pStyle w:val="Normal"/>
        <w:spacing w:lineRule="auto" w:line="240" w:before="0" w:after="0"/>
        <w:ind w:firstLine="902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Согласно п. 19 раздела </w:t>
      </w:r>
      <w:r>
        <w:rPr>
          <w:sz w:val="27"/>
          <w:szCs w:val="27"/>
          <w:lang w:val="en-US"/>
        </w:rPr>
        <w:t>III</w:t>
      </w:r>
      <w:r>
        <w:rPr>
          <w:sz w:val="27"/>
          <w:szCs w:val="27"/>
        </w:rPr>
        <w:t xml:space="preserve"> - основаниями для проведения внеплановой проверки являются:</w:t>
      </w:r>
    </w:p>
    <w:p>
      <w:pPr>
        <w:pStyle w:val="Normal"/>
        <w:spacing w:lineRule="auto" w:line="240" w:before="0" w:after="0"/>
        <w:ind w:firstLine="902"/>
        <w:jc w:val="both"/>
        <w:rPr>
          <w:sz w:val="27"/>
          <w:szCs w:val="27"/>
        </w:rPr>
      </w:pPr>
      <w:r>
        <w:rPr>
          <w:sz w:val="27"/>
          <w:szCs w:val="27"/>
        </w:rPr>
        <w:t>а)</w:t>
        <w:tab/>
        <w:t>истечение срока исполнения выданного предписания об устранении выявленных нарушений;</w:t>
      </w:r>
    </w:p>
    <w:p>
      <w:pPr>
        <w:pStyle w:val="Normal"/>
        <w:spacing w:lineRule="auto" w:line="240" w:before="0" w:after="0"/>
        <w:ind w:firstLine="902"/>
        <w:jc w:val="both"/>
        <w:rPr>
          <w:sz w:val="27"/>
          <w:szCs w:val="27"/>
        </w:rPr>
      </w:pPr>
      <w:r>
        <w:rPr>
          <w:sz w:val="27"/>
          <w:szCs w:val="27"/>
        </w:rPr>
        <w:t>б)</w:t>
        <w:tab/>
        <w:t>поступление в орган государственного контроля (надзора) обращений и заявлений граждан, юридических лиц и (или) индивидуальных предпринимателей, информации от органов государственной власти и органов местного самоуправления, из средств массовой информации о причинении вреда жизни, здоровью людей, безопасности государства, повреждении или об уничтожении имущества физических или юридических лиц, государственного или муниципального имущества вследствие совершения акта незаконного вмешательства либо угрозы его совершения, а также неисполнения или ненадлежащего исполнения субъектом ТЭК требований обеспечения безопасности;</w:t>
      </w:r>
    </w:p>
    <w:p>
      <w:pPr>
        <w:pStyle w:val="Normal"/>
        <w:spacing w:lineRule="auto" w:line="240" w:before="0" w:after="0"/>
        <w:ind w:firstLine="902"/>
        <w:jc w:val="both"/>
        <w:rPr>
          <w:sz w:val="27"/>
          <w:szCs w:val="27"/>
        </w:rPr>
      </w:pPr>
      <w:r>
        <w:rPr>
          <w:sz w:val="27"/>
          <w:szCs w:val="27"/>
        </w:rPr>
        <w:t>в)</w:t>
        <w:tab/>
        <w:t>распоряжение руководителя (лица, его замещающего) органа государственного контроля (надзора) о проведении внеплановой проверки, изданное в соответствии с поручениями и указаниями Президента Российской Федерации, поручениями Правительства Российской Федерации.</w:t>
      </w:r>
    </w:p>
    <w:p>
      <w:pPr>
        <w:pStyle w:val="Normal"/>
        <w:spacing w:lineRule="auto" w:line="240" w:before="0" w:after="0"/>
        <w:ind w:firstLine="902"/>
        <w:jc w:val="both"/>
        <w:rPr>
          <w:sz w:val="27"/>
          <w:szCs w:val="27"/>
        </w:rPr>
      </w:pPr>
      <w:r>
        <w:rPr>
          <w:sz w:val="27"/>
          <w:szCs w:val="27"/>
        </w:rPr>
        <w:t>В соответствии с Перечнем объектов ТЭК Мурманской области, подлежащих категорированию, на территории региона расположено 93 объекта ТЭК, принадлежащие на различных правах 1</w:t>
      </w:r>
      <w:r>
        <w:rPr>
          <w:rFonts w:eastAsia="Calibri" w:cs="" w:cstheme="minorBidi" w:eastAsiaTheme="minorHAnsi"/>
          <w:color w:val="auto"/>
          <w:kern w:val="0"/>
          <w:sz w:val="27"/>
          <w:szCs w:val="27"/>
          <w:lang w:val="ru-RU" w:eastAsia="en-US" w:bidi="ar-SA"/>
        </w:rPr>
        <w:t>8</w:t>
      </w:r>
      <w:r>
        <w:rPr>
          <w:sz w:val="27"/>
          <w:szCs w:val="27"/>
        </w:rPr>
        <w:t xml:space="preserve"> юридическим лицам (субъектам ТЭК), которым присвоены категории опасности: 30 объектов – средней категории опасности и 63 – низкой категории опасности, объекты высокой категории опасности на территории Мурманской области отсутствуют.</w:t>
      </w:r>
    </w:p>
    <w:p>
      <w:pPr>
        <w:pStyle w:val="Normal"/>
        <w:spacing w:lineRule="auto" w:line="240" w:before="0" w:after="0"/>
        <w:ind w:firstLine="902"/>
        <w:jc w:val="both"/>
        <w:rPr>
          <w:sz w:val="27"/>
          <w:szCs w:val="27"/>
        </w:rPr>
      </w:pPr>
      <w:r>
        <w:rPr>
          <w:rFonts w:eastAsia="Calibri" w:cs="" w:cstheme="minorBidi" w:eastAsiaTheme="minorHAnsi"/>
          <w:color w:val="auto"/>
          <w:kern w:val="0"/>
          <w:sz w:val="27"/>
          <w:szCs w:val="27"/>
          <w:lang w:val="ru-RU" w:eastAsia="en-US" w:bidi="ar-SA"/>
        </w:rPr>
        <w:t>На 15.12.</w:t>
      </w:r>
      <w:r>
        <w:rPr>
          <w:sz w:val="27"/>
          <w:szCs w:val="27"/>
        </w:rPr>
        <w:t xml:space="preserve">2022 года отделом государственного контроля Управления Росгвардии по Мурманской области осуществлено </w:t>
      </w:r>
      <w:r>
        <w:rPr>
          <w:rFonts w:eastAsia="Calibri" w:cs="" w:cstheme="minorBidi" w:eastAsiaTheme="minorHAnsi"/>
          <w:color w:val="auto"/>
          <w:kern w:val="0"/>
          <w:sz w:val="27"/>
          <w:szCs w:val="27"/>
          <w:lang w:val="ru-RU" w:eastAsia="en-US" w:bidi="ar-SA"/>
        </w:rPr>
        <w:t>46</w:t>
      </w:r>
      <w:r>
        <w:rPr>
          <w:sz w:val="27"/>
          <w:szCs w:val="27"/>
        </w:rPr>
        <w:t xml:space="preserve"> плановых проверок объектов ТЭК, осуществляющих свою деятельность на территории Мурманской области, что на </w:t>
      </w:r>
      <w:r>
        <w:rPr>
          <w:rFonts w:eastAsia="Calibri" w:cs="" w:cstheme="minorBidi" w:eastAsiaTheme="minorHAnsi"/>
          <w:color w:val="auto"/>
          <w:kern w:val="0"/>
          <w:sz w:val="27"/>
          <w:szCs w:val="27"/>
          <w:lang w:val="ru-RU" w:eastAsia="en-US" w:bidi="ar-SA"/>
        </w:rPr>
        <w:t>2</w:t>
      </w:r>
      <w:r>
        <w:rPr>
          <w:sz w:val="27"/>
          <w:szCs w:val="27"/>
        </w:rPr>
        <w:t xml:space="preserve"> провер</w:t>
      </w:r>
      <w:r>
        <w:rPr>
          <w:rFonts w:eastAsia="Calibri" w:cs="" w:cstheme="minorBidi" w:eastAsiaTheme="minorHAnsi"/>
          <w:color w:val="auto"/>
          <w:kern w:val="0"/>
          <w:sz w:val="27"/>
          <w:szCs w:val="27"/>
          <w:lang w:val="ru-RU" w:eastAsia="en-US" w:bidi="ar-SA"/>
        </w:rPr>
        <w:t>ки</w:t>
      </w:r>
      <w:r>
        <w:rPr>
          <w:sz w:val="27"/>
          <w:szCs w:val="27"/>
        </w:rPr>
        <w:t xml:space="preserve"> </w:t>
      </w:r>
      <w:r>
        <w:rPr>
          <w:rFonts w:eastAsia="Calibri" w:cs="" w:cstheme="minorBidi" w:eastAsiaTheme="minorHAnsi"/>
          <w:color w:val="auto"/>
          <w:kern w:val="0"/>
          <w:sz w:val="27"/>
          <w:szCs w:val="27"/>
          <w:lang w:val="ru-RU" w:eastAsia="en-US" w:bidi="ar-SA"/>
        </w:rPr>
        <w:t>мен</w:t>
      </w:r>
      <w:r>
        <w:rPr>
          <w:sz w:val="27"/>
          <w:szCs w:val="27"/>
        </w:rPr>
        <w:t>ьше чем в аналогичном периоде прошлого года (</w:t>
      </w:r>
      <w:r>
        <w:rPr>
          <w:rFonts w:eastAsia="Calibri" w:cs="" w:cstheme="minorBidi" w:eastAsiaTheme="minorHAnsi"/>
          <w:color w:val="auto"/>
          <w:kern w:val="0"/>
          <w:sz w:val="27"/>
          <w:szCs w:val="27"/>
          <w:lang w:val="ru-RU" w:eastAsia="en-US" w:bidi="ar-SA"/>
        </w:rPr>
        <w:t>48</w:t>
      </w:r>
      <w:r>
        <w:rPr>
          <w:sz w:val="27"/>
          <w:szCs w:val="27"/>
        </w:rPr>
        <w:t>).</w:t>
      </w:r>
    </w:p>
    <w:p>
      <w:pPr>
        <w:pStyle w:val="Normal"/>
        <w:spacing w:lineRule="auto" w:line="240" w:before="0" w:after="0"/>
        <w:ind w:firstLine="902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Кроме того, </w:t>
      </w:r>
      <w:r>
        <w:rPr>
          <w:sz w:val="27"/>
          <w:szCs w:val="27"/>
        </w:rPr>
        <w:t>на 15.12.</w:t>
      </w:r>
      <w:r>
        <w:rPr>
          <w:sz w:val="27"/>
          <w:szCs w:val="27"/>
        </w:rPr>
        <w:t>202</w:t>
      </w:r>
      <w:r>
        <w:rPr>
          <w:rFonts w:eastAsia="Calibri" w:cs="" w:cstheme="minorBidi" w:eastAsiaTheme="minorHAnsi"/>
          <w:color w:val="auto"/>
          <w:kern w:val="0"/>
          <w:sz w:val="27"/>
          <w:szCs w:val="27"/>
          <w:lang w:val="ru-RU" w:eastAsia="en-US" w:bidi="ar-SA"/>
        </w:rPr>
        <w:t>2</w:t>
      </w:r>
      <w:r>
        <w:rPr>
          <w:sz w:val="27"/>
          <w:szCs w:val="27"/>
        </w:rPr>
        <w:t xml:space="preserve"> года по истечению сроков выданных предписаний проведен</w:t>
      </w:r>
      <w:r>
        <w:rPr>
          <w:rFonts w:eastAsia="Calibri" w:cs="" w:cstheme="minorBidi" w:eastAsiaTheme="minorHAnsi"/>
          <w:color w:val="auto"/>
          <w:kern w:val="0"/>
          <w:sz w:val="27"/>
          <w:szCs w:val="27"/>
          <w:lang w:val="ru-RU" w:eastAsia="en-US" w:bidi="ar-SA"/>
        </w:rPr>
        <w:t>ы</w:t>
      </w:r>
      <w:r>
        <w:rPr>
          <w:sz w:val="27"/>
          <w:szCs w:val="27"/>
        </w:rPr>
        <w:t xml:space="preserve"> </w:t>
      </w:r>
      <w:r>
        <w:rPr>
          <w:rFonts w:eastAsia="Calibri" w:cs="" w:cstheme="minorBidi" w:eastAsiaTheme="minorHAnsi"/>
          <w:color w:val="auto"/>
          <w:kern w:val="0"/>
          <w:sz w:val="27"/>
          <w:szCs w:val="27"/>
          <w:lang w:val="ru-RU" w:eastAsia="en-US" w:bidi="ar-SA"/>
        </w:rPr>
        <w:t>1</w:t>
      </w:r>
      <w:r>
        <w:rPr>
          <w:rFonts w:eastAsia="Calibri" w:cs="" w:cstheme="minorBidi" w:eastAsiaTheme="minorHAnsi"/>
          <w:color w:val="auto"/>
          <w:kern w:val="0"/>
          <w:sz w:val="27"/>
          <w:szCs w:val="27"/>
          <w:lang w:val="ru-RU" w:eastAsia="en-US" w:bidi="ar-SA"/>
        </w:rPr>
        <w:t>3</w:t>
      </w:r>
      <w:r>
        <w:rPr>
          <w:sz w:val="27"/>
          <w:szCs w:val="27"/>
        </w:rPr>
        <w:t xml:space="preserve"> внепланов</w:t>
      </w:r>
      <w:r>
        <w:rPr>
          <w:rFonts w:eastAsia="Calibri" w:cs="" w:cstheme="minorBidi" w:eastAsiaTheme="minorHAnsi"/>
          <w:color w:val="auto"/>
          <w:kern w:val="0"/>
          <w:sz w:val="27"/>
          <w:szCs w:val="27"/>
          <w:lang w:val="ru-RU" w:eastAsia="en-US" w:bidi="ar-SA"/>
        </w:rPr>
        <w:t>ых</w:t>
      </w:r>
      <w:r>
        <w:rPr>
          <w:sz w:val="27"/>
          <w:szCs w:val="27"/>
        </w:rPr>
        <w:t xml:space="preserve"> провер</w:t>
      </w:r>
      <w:r>
        <w:rPr>
          <w:rFonts w:eastAsia="Calibri" w:cs="" w:cstheme="minorBidi" w:eastAsiaTheme="minorHAnsi"/>
          <w:color w:val="auto"/>
          <w:kern w:val="0"/>
          <w:sz w:val="27"/>
          <w:szCs w:val="27"/>
          <w:lang w:val="ru-RU" w:eastAsia="en-US" w:bidi="ar-SA"/>
        </w:rPr>
        <w:t>ок</w:t>
      </w:r>
      <w:r>
        <w:rPr>
          <w:sz w:val="27"/>
          <w:szCs w:val="27"/>
        </w:rPr>
        <w:t>.</w:t>
      </w:r>
    </w:p>
    <w:p>
      <w:pPr>
        <w:pStyle w:val="Normal"/>
        <w:spacing w:lineRule="auto" w:line="240" w:before="0" w:after="0"/>
        <w:ind w:firstLine="902"/>
        <w:jc w:val="both"/>
        <w:rPr>
          <w:sz w:val="27"/>
          <w:szCs w:val="27"/>
        </w:rPr>
      </w:pPr>
      <w:r>
        <w:rPr>
          <w:sz w:val="27"/>
          <w:szCs w:val="27"/>
        </w:rPr>
        <w:t>Количество выявленных нарушений обязательных требований правил по обеспечению безопасности объектов ТЭК, утвержденных постановлением Правительства Российской Федерации от 05.05.2012 г. № 458дсп «Об утверждении правил по обеспечению безопасности и антитеррористической защищенности объектов топливно-энергетического комплекса»</w:t>
      </w:r>
      <w:r>
        <w:rPr>
          <w:rStyle w:val="Style15"/>
          <w:sz w:val="27"/>
          <w:szCs w:val="27"/>
        </w:rPr>
        <w:footnoteReference w:id="3"/>
      </w:r>
      <w:r>
        <w:rPr>
          <w:sz w:val="27"/>
          <w:szCs w:val="27"/>
        </w:rPr>
        <w:t xml:space="preserve">, составило </w:t>
      </w:r>
      <w:r>
        <w:rPr>
          <w:rFonts w:eastAsia="Calibri" w:cs="" w:cstheme="minorBidi" w:eastAsiaTheme="minorHAnsi"/>
          <w:color w:val="auto"/>
          <w:kern w:val="0"/>
          <w:sz w:val="27"/>
          <w:szCs w:val="27"/>
          <w:lang w:val="ru-RU" w:eastAsia="en-US" w:bidi="ar-SA"/>
        </w:rPr>
        <w:t>40</w:t>
      </w:r>
      <w:r>
        <w:rPr>
          <w:sz w:val="27"/>
          <w:szCs w:val="27"/>
        </w:rPr>
        <w:t xml:space="preserve"> в 202</w:t>
      </w:r>
      <w:r>
        <w:rPr>
          <w:rFonts w:eastAsia="Calibri" w:cs="" w:cstheme="minorBidi" w:eastAsiaTheme="minorHAnsi"/>
          <w:color w:val="auto"/>
          <w:kern w:val="0"/>
          <w:sz w:val="27"/>
          <w:szCs w:val="27"/>
          <w:lang w:val="ru-RU" w:eastAsia="en-US" w:bidi="ar-SA"/>
        </w:rPr>
        <w:t>2</w:t>
      </w:r>
      <w:r>
        <w:rPr>
          <w:sz w:val="27"/>
          <w:szCs w:val="27"/>
        </w:rPr>
        <w:t xml:space="preserve"> год</w:t>
      </w:r>
      <w:r>
        <w:rPr>
          <w:rFonts w:eastAsia="Calibri" w:cs="" w:cstheme="minorBidi" w:eastAsiaTheme="minorHAnsi"/>
          <w:color w:val="auto"/>
          <w:kern w:val="0"/>
          <w:sz w:val="27"/>
          <w:szCs w:val="27"/>
          <w:lang w:val="ru-RU" w:eastAsia="en-US" w:bidi="ar-SA"/>
        </w:rPr>
        <w:t>у</w:t>
      </w:r>
      <w:r>
        <w:rPr>
          <w:sz w:val="27"/>
          <w:szCs w:val="27"/>
        </w:rPr>
        <w:t xml:space="preserve"> относительно </w:t>
      </w:r>
      <w:r>
        <w:rPr>
          <w:rFonts w:eastAsia="Calibri" w:cs="" w:cstheme="minorBidi" w:eastAsiaTheme="minorHAnsi"/>
          <w:color w:val="auto"/>
          <w:kern w:val="0"/>
          <w:sz w:val="27"/>
          <w:szCs w:val="27"/>
          <w:lang w:val="ru-RU" w:eastAsia="en-US" w:bidi="ar-SA"/>
        </w:rPr>
        <w:t>465</w:t>
      </w:r>
      <w:r>
        <w:rPr>
          <w:sz w:val="27"/>
          <w:szCs w:val="27"/>
        </w:rPr>
        <w:t>, выявленных в 202</w:t>
      </w:r>
      <w:r>
        <w:rPr>
          <w:rFonts w:eastAsia="Calibri" w:cs="" w:cstheme="minorBidi" w:eastAsiaTheme="minorHAnsi"/>
          <w:color w:val="auto"/>
          <w:kern w:val="0"/>
          <w:sz w:val="27"/>
          <w:szCs w:val="27"/>
          <w:lang w:val="ru-RU" w:eastAsia="en-US" w:bidi="ar-SA"/>
        </w:rPr>
        <w:t>1</w:t>
      </w:r>
      <w:r>
        <w:rPr>
          <w:sz w:val="27"/>
          <w:szCs w:val="27"/>
        </w:rPr>
        <w:t xml:space="preserve"> год</w:t>
      </w:r>
      <w:r>
        <w:rPr>
          <w:rFonts w:eastAsia="Calibri" w:cs="" w:cstheme="minorBidi" w:eastAsiaTheme="minorHAnsi"/>
          <w:color w:val="auto"/>
          <w:kern w:val="0"/>
          <w:sz w:val="27"/>
          <w:szCs w:val="27"/>
          <w:lang w:val="ru-RU" w:eastAsia="en-US" w:bidi="ar-SA"/>
        </w:rPr>
        <w:t>у</w:t>
      </w:r>
      <w:r>
        <w:rPr>
          <w:sz w:val="27"/>
          <w:szCs w:val="27"/>
        </w:rPr>
        <w:t xml:space="preserve">. Предписаний об устранении нарушений в обеспечении безопасности и антитеррористической защищенности объектов ТЭК в отчетном периоде выдано </w:t>
      </w:r>
      <w:r>
        <w:rPr>
          <w:rFonts w:eastAsia="Calibri" w:cs="" w:cstheme="minorBidi" w:eastAsiaTheme="minorHAnsi"/>
          <w:color w:val="auto"/>
          <w:kern w:val="0"/>
          <w:sz w:val="27"/>
          <w:szCs w:val="27"/>
          <w:lang w:val="ru-RU" w:eastAsia="en-US" w:bidi="ar-SA"/>
        </w:rPr>
        <w:t>4</w:t>
      </w:r>
      <w:r>
        <w:rPr>
          <w:sz w:val="27"/>
          <w:szCs w:val="27"/>
        </w:rPr>
        <w:t>, в аналогичном периоде 202</w:t>
      </w:r>
      <w:r>
        <w:rPr>
          <w:rFonts w:eastAsia="Calibri" w:cs="" w:cstheme="minorBidi" w:eastAsiaTheme="minorHAnsi"/>
          <w:color w:val="auto"/>
          <w:kern w:val="0"/>
          <w:sz w:val="27"/>
          <w:szCs w:val="27"/>
          <w:lang w:val="ru-RU" w:eastAsia="en-US" w:bidi="ar-SA"/>
        </w:rPr>
        <w:t>1</w:t>
      </w:r>
      <w:r>
        <w:rPr>
          <w:sz w:val="27"/>
          <w:szCs w:val="27"/>
        </w:rPr>
        <w:t xml:space="preserve"> года таких предписаний было выдано </w:t>
      </w:r>
      <w:r>
        <w:rPr>
          <w:rFonts w:eastAsia="Calibri" w:cs="" w:cstheme="minorBidi" w:eastAsiaTheme="minorHAnsi"/>
          <w:color w:val="auto"/>
          <w:kern w:val="0"/>
          <w:sz w:val="27"/>
          <w:szCs w:val="27"/>
          <w:lang w:val="ru-RU" w:eastAsia="en-US" w:bidi="ar-SA"/>
        </w:rPr>
        <w:t>35</w:t>
      </w:r>
      <w:r>
        <w:rPr>
          <w:sz w:val="27"/>
          <w:szCs w:val="27"/>
        </w:rPr>
        <w:t xml:space="preserve">. </w:t>
      </w:r>
    </w:p>
    <w:p>
      <w:pPr>
        <w:pStyle w:val="Normal"/>
        <w:spacing w:lineRule="auto" w:line="240" w:before="0" w:after="0"/>
        <w:ind w:firstLine="902"/>
        <w:jc w:val="both"/>
        <w:rPr>
          <w:sz w:val="27"/>
          <w:szCs w:val="27"/>
        </w:rPr>
      </w:pPr>
      <w:r>
        <w:rPr>
          <w:sz w:val="27"/>
          <w:szCs w:val="27"/>
        </w:rPr>
        <w:t>В отношении юридических и должностных лиц в 202</w:t>
      </w:r>
      <w:r>
        <w:rPr>
          <w:rFonts w:eastAsia="Calibri" w:cs="" w:cstheme="minorBidi" w:eastAsiaTheme="minorHAnsi"/>
          <w:color w:val="auto"/>
          <w:kern w:val="0"/>
          <w:sz w:val="27"/>
          <w:szCs w:val="27"/>
          <w:lang w:val="ru-RU" w:eastAsia="en-US" w:bidi="ar-SA"/>
        </w:rPr>
        <w:t>1</w:t>
      </w:r>
      <w:r>
        <w:rPr>
          <w:sz w:val="27"/>
          <w:szCs w:val="27"/>
        </w:rPr>
        <w:t xml:space="preserve"> год</w:t>
      </w:r>
      <w:r>
        <w:rPr>
          <w:rFonts w:eastAsia="Calibri" w:cs="" w:cstheme="minorBidi" w:eastAsiaTheme="minorHAnsi"/>
          <w:color w:val="auto"/>
          <w:kern w:val="0"/>
          <w:sz w:val="27"/>
          <w:szCs w:val="27"/>
          <w:lang w:val="ru-RU" w:eastAsia="en-US" w:bidi="ar-SA"/>
        </w:rPr>
        <w:t>у</w:t>
      </w:r>
      <w:r>
        <w:rPr>
          <w:sz w:val="27"/>
          <w:szCs w:val="27"/>
        </w:rPr>
        <w:t xml:space="preserve"> составлено </w:t>
      </w:r>
      <w:r>
        <w:rPr>
          <w:rFonts w:eastAsia="Calibri" w:cs="" w:cstheme="minorBidi" w:eastAsiaTheme="minorHAnsi"/>
          <w:color w:val="auto"/>
          <w:kern w:val="0"/>
          <w:sz w:val="27"/>
          <w:szCs w:val="27"/>
          <w:lang w:val="ru-RU" w:eastAsia="en-US" w:bidi="ar-SA"/>
        </w:rPr>
        <w:t>16</w:t>
      </w:r>
      <w:r>
        <w:rPr>
          <w:sz w:val="27"/>
          <w:szCs w:val="27"/>
        </w:rPr>
        <w:t xml:space="preserve"> протокол</w:t>
      </w:r>
      <w:r>
        <w:rPr>
          <w:rFonts w:eastAsia="Calibri" w:cs="" w:cstheme="minorBidi" w:eastAsiaTheme="minorHAnsi"/>
          <w:color w:val="auto"/>
          <w:kern w:val="0"/>
          <w:sz w:val="27"/>
          <w:szCs w:val="27"/>
          <w:lang w:val="ru-RU" w:eastAsia="en-US" w:bidi="ar-SA"/>
        </w:rPr>
        <w:t>ов</w:t>
      </w:r>
      <w:r>
        <w:rPr>
          <w:sz w:val="27"/>
          <w:szCs w:val="27"/>
        </w:rPr>
        <w:t xml:space="preserve"> об административных правонарушениях по ст. 20.30 КоАП РФ, в 202</w:t>
      </w:r>
      <w:r>
        <w:rPr>
          <w:rFonts w:eastAsia="Calibri" w:cs="" w:cstheme="minorBidi" w:eastAsiaTheme="minorHAnsi"/>
          <w:color w:val="auto"/>
          <w:kern w:val="0"/>
          <w:sz w:val="27"/>
          <w:szCs w:val="27"/>
          <w:lang w:val="ru-RU" w:eastAsia="en-US" w:bidi="ar-SA"/>
        </w:rPr>
        <w:t>2</w:t>
      </w:r>
      <w:r>
        <w:rPr>
          <w:sz w:val="27"/>
          <w:szCs w:val="27"/>
        </w:rPr>
        <w:t xml:space="preserve"> год</w:t>
      </w:r>
      <w:r>
        <w:rPr>
          <w:rFonts w:eastAsia="Calibri" w:cs="" w:cstheme="minorBidi" w:eastAsiaTheme="minorHAnsi"/>
          <w:color w:val="auto"/>
          <w:kern w:val="0"/>
          <w:sz w:val="27"/>
          <w:szCs w:val="27"/>
          <w:lang w:val="ru-RU" w:eastAsia="en-US" w:bidi="ar-SA"/>
        </w:rPr>
        <w:t>у</w:t>
      </w:r>
      <w:r>
        <w:rPr>
          <w:sz w:val="27"/>
          <w:szCs w:val="27"/>
        </w:rPr>
        <w:t xml:space="preserve"> составлено 3 протокола в отношении двух юридических лиц и одного должностного лица. Кроме того, в 202</w:t>
      </w:r>
      <w:r>
        <w:rPr>
          <w:rFonts w:eastAsia="Calibri" w:cs="" w:cstheme="minorBidi" w:eastAsiaTheme="minorHAnsi"/>
          <w:color w:val="auto"/>
          <w:kern w:val="0"/>
          <w:sz w:val="27"/>
          <w:szCs w:val="27"/>
          <w:lang w:val="ru-RU" w:eastAsia="en-US" w:bidi="ar-SA"/>
        </w:rPr>
        <w:t>1</w:t>
      </w:r>
      <w:r>
        <w:rPr>
          <w:sz w:val="27"/>
          <w:szCs w:val="27"/>
        </w:rPr>
        <w:t xml:space="preserve"> год</w:t>
      </w:r>
      <w:r>
        <w:rPr>
          <w:rFonts w:eastAsia="Calibri" w:cs="" w:cstheme="minorBidi" w:eastAsiaTheme="minorHAnsi"/>
          <w:color w:val="auto"/>
          <w:kern w:val="0"/>
          <w:sz w:val="27"/>
          <w:szCs w:val="27"/>
          <w:lang w:val="ru-RU" w:eastAsia="en-US" w:bidi="ar-SA"/>
        </w:rPr>
        <w:t>у</w:t>
      </w:r>
      <w:r>
        <w:rPr>
          <w:sz w:val="27"/>
          <w:szCs w:val="27"/>
        </w:rPr>
        <w:t xml:space="preserve"> в отношении должностных лиц субъектов ТЭК, ответственных за обеспечение безопасности и антитеррористической защищенности объектов ТЭК, было составлено </w:t>
      </w:r>
      <w:r>
        <w:rPr>
          <w:rFonts w:eastAsia="Calibri" w:cs="" w:cstheme="minorBidi" w:eastAsiaTheme="minorHAnsi"/>
          <w:color w:val="auto"/>
          <w:kern w:val="0"/>
          <w:sz w:val="27"/>
          <w:szCs w:val="27"/>
          <w:lang w:val="ru-RU" w:eastAsia="en-US" w:bidi="ar-SA"/>
        </w:rPr>
        <w:t>6</w:t>
      </w:r>
      <w:r>
        <w:rPr>
          <w:sz w:val="27"/>
          <w:szCs w:val="27"/>
        </w:rPr>
        <w:t xml:space="preserve"> протокол</w:t>
      </w:r>
      <w:r>
        <w:rPr>
          <w:rFonts w:eastAsia="Calibri" w:cs="" w:cstheme="minorBidi" w:eastAsiaTheme="minorHAnsi"/>
          <w:color w:val="auto"/>
          <w:kern w:val="0"/>
          <w:sz w:val="27"/>
          <w:szCs w:val="27"/>
          <w:lang w:val="ru-RU" w:eastAsia="en-US" w:bidi="ar-SA"/>
        </w:rPr>
        <w:t>ов</w:t>
      </w:r>
      <w:r>
        <w:rPr>
          <w:sz w:val="27"/>
          <w:szCs w:val="27"/>
        </w:rPr>
        <w:t xml:space="preserve"> об административных правонарушениях по ст. 19.5 КоАП РФ, в 202</w:t>
      </w:r>
      <w:r>
        <w:rPr>
          <w:rFonts w:eastAsia="Calibri" w:cs="" w:cstheme="minorBidi" w:eastAsiaTheme="minorHAnsi"/>
          <w:color w:val="auto"/>
          <w:kern w:val="0"/>
          <w:sz w:val="27"/>
          <w:szCs w:val="27"/>
          <w:lang w:val="ru-RU" w:eastAsia="en-US" w:bidi="ar-SA"/>
        </w:rPr>
        <w:t>2</w:t>
      </w:r>
      <w:r>
        <w:rPr>
          <w:sz w:val="27"/>
          <w:szCs w:val="27"/>
        </w:rPr>
        <w:t xml:space="preserve"> год</w:t>
      </w:r>
      <w:r>
        <w:rPr>
          <w:rFonts w:eastAsia="Calibri" w:cs="" w:cstheme="minorBidi" w:eastAsiaTheme="minorHAnsi"/>
          <w:color w:val="auto"/>
          <w:kern w:val="0"/>
          <w:sz w:val="27"/>
          <w:szCs w:val="27"/>
          <w:lang w:val="ru-RU" w:eastAsia="en-US" w:bidi="ar-SA"/>
        </w:rPr>
        <w:t>у в отношении юридических лиц</w:t>
      </w:r>
      <w:r>
        <w:rPr>
          <w:sz w:val="27"/>
          <w:szCs w:val="27"/>
        </w:rPr>
        <w:t xml:space="preserve"> </w:t>
      </w:r>
      <w:r>
        <w:rPr>
          <w:rFonts w:eastAsia="Calibri" w:cs="" w:cstheme="minorBidi" w:eastAsiaTheme="minorHAnsi"/>
          <w:sz w:val="27"/>
          <w:szCs w:val="27"/>
        </w:rPr>
        <w:t>–</w:t>
      </w:r>
      <w:r>
        <w:rPr>
          <w:sz w:val="27"/>
          <w:szCs w:val="27"/>
        </w:rPr>
        <w:t xml:space="preserve"> </w:t>
      </w:r>
      <w:r>
        <w:rPr>
          <w:rFonts w:eastAsia="Calibri" w:cs="" w:cstheme="minorBidi" w:eastAsiaTheme="minorHAnsi"/>
          <w:color w:val="auto"/>
          <w:kern w:val="0"/>
          <w:sz w:val="27"/>
          <w:szCs w:val="27"/>
          <w:lang w:val="ru-RU" w:eastAsia="en-US" w:bidi="ar-SA"/>
        </w:rPr>
        <w:t>1</w:t>
      </w:r>
      <w:r>
        <w:rPr>
          <w:rFonts w:eastAsia="Calibri" w:cs="" w:cstheme="minorBidi" w:eastAsiaTheme="minorHAnsi"/>
          <w:color w:val="auto"/>
          <w:kern w:val="0"/>
          <w:sz w:val="27"/>
          <w:szCs w:val="27"/>
          <w:lang w:val="ru-RU" w:eastAsia="en-US" w:bidi="ar-SA"/>
        </w:rPr>
        <w:t>2</w:t>
      </w:r>
      <w:r>
        <w:rPr>
          <w:sz w:val="27"/>
          <w:szCs w:val="27"/>
        </w:rPr>
        <w:t xml:space="preserve"> протокол</w:t>
      </w:r>
      <w:r>
        <w:rPr>
          <w:sz w:val="27"/>
          <w:szCs w:val="27"/>
        </w:rPr>
        <w:t>ов</w:t>
      </w:r>
      <w:r>
        <w:rPr>
          <w:sz w:val="27"/>
          <w:szCs w:val="27"/>
        </w:rPr>
        <w:t>.</w:t>
      </w:r>
    </w:p>
    <w:p>
      <w:pPr>
        <w:pStyle w:val="Normal"/>
        <w:spacing w:lineRule="auto" w:line="240" w:before="0" w:after="0"/>
        <w:ind w:firstLine="902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Анализ выявленных в результате проведения плановых проверок нарушений показывает, что наиболее </w:t>
      </w:r>
      <w:r>
        <w:rPr>
          <w:rFonts w:eastAsia="Calibri" w:cs="" w:cstheme="minorBidi" w:eastAsiaTheme="minorHAnsi"/>
          <w:sz w:val="27"/>
          <w:szCs w:val="27"/>
        </w:rPr>
        <w:t xml:space="preserve">распространенными являются нарушения обязательных требований к инженерно-техническим средствам защиты – </w:t>
      </w:r>
      <w:r>
        <w:rPr>
          <w:rFonts w:eastAsia="Calibri" w:cs="" w:cstheme="minorBidi" w:eastAsiaTheme="minorHAnsi"/>
          <w:color w:val="000000"/>
          <w:kern w:val="0"/>
          <w:sz w:val="27"/>
          <w:szCs w:val="27"/>
          <w:lang w:val="ru-RU" w:eastAsia="en-US" w:bidi="ar-SA"/>
        </w:rPr>
        <w:t>3</w:t>
      </w:r>
      <w:r>
        <w:rPr>
          <w:rFonts w:eastAsia="Calibri" w:cs="" w:cstheme="minorBidi" w:eastAsiaTheme="minorHAnsi"/>
          <w:color w:val="000000"/>
          <w:kern w:val="0"/>
          <w:sz w:val="27"/>
          <w:szCs w:val="27"/>
          <w:lang w:val="ru-RU" w:eastAsia="en-US" w:bidi="ar-SA"/>
        </w:rPr>
        <w:t>6</w:t>
      </w:r>
      <w:r>
        <w:rPr>
          <w:rFonts w:eastAsia="Calibri" w:cs="" w:cstheme="minorBidi" w:eastAsiaTheme="minorHAnsi"/>
          <w:sz w:val="27"/>
          <w:szCs w:val="27"/>
        </w:rPr>
        <w:t xml:space="preserve">, что составляет </w:t>
      </w:r>
      <w:r>
        <w:rPr>
          <w:rFonts w:eastAsia="Calibri" w:cs="" w:cstheme="minorBidi" w:eastAsiaTheme="minorHAnsi"/>
          <w:color w:val="000000"/>
          <w:kern w:val="0"/>
          <w:sz w:val="27"/>
          <w:szCs w:val="27"/>
          <w:lang w:val="ru-RU" w:eastAsia="en-US" w:bidi="ar-SA"/>
        </w:rPr>
        <w:t>9</w:t>
      </w:r>
      <w:r>
        <w:rPr>
          <w:rFonts w:eastAsia="Calibri" w:cs="" w:cstheme="minorBidi" w:eastAsiaTheme="minorHAnsi"/>
          <w:color w:val="000000"/>
          <w:kern w:val="0"/>
          <w:sz w:val="27"/>
          <w:szCs w:val="27"/>
          <w:lang w:val="ru-RU" w:eastAsia="en-US" w:bidi="ar-SA"/>
        </w:rPr>
        <w:t>0</w:t>
      </w:r>
      <w:r>
        <w:rPr>
          <w:rFonts w:eastAsia="Calibri" w:cs="" w:cstheme="minorBidi" w:eastAsiaTheme="minorHAnsi"/>
          <w:sz w:val="27"/>
          <w:szCs w:val="27"/>
        </w:rPr>
        <w:t xml:space="preserve">% от общего числа выявленных нарушений. Наиболее часто встречающимися из них являются нарушения обязательных требований к ограждению объекта, как к основному, так и дополнительному, не соответствие обязательным требованиям запретной зоны, отсутствие предупредительных и запрещающих знаков, не соответствие обязательным требованиям оборудования КПП объектов. Ещё одним из распространённых нарушений является нарушение обязательных требований к системе охранной сигнализации объекта – </w:t>
      </w:r>
      <w:r>
        <w:rPr>
          <w:rFonts w:eastAsia="Calibri" w:cs="" w:cstheme="minorBidi" w:eastAsiaTheme="minorHAnsi"/>
          <w:color w:val="000000"/>
          <w:kern w:val="0"/>
          <w:sz w:val="27"/>
          <w:szCs w:val="27"/>
          <w:lang w:val="ru-RU" w:eastAsia="en-US" w:bidi="ar-SA"/>
        </w:rPr>
        <w:t>8</w:t>
      </w:r>
      <w:r>
        <w:rPr>
          <w:rFonts w:eastAsia="Calibri" w:cs="" w:cstheme="minorBidi" w:eastAsiaTheme="minorHAnsi"/>
          <w:sz w:val="27"/>
          <w:szCs w:val="27"/>
        </w:rPr>
        <w:t xml:space="preserve"> или </w:t>
      </w:r>
      <w:r>
        <w:rPr>
          <w:rFonts w:eastAsia="Calibri" w:cs="" w:cstheme="minorBidi" w:eastAsiaTheme="minorHAnsi"/>
          <w:color w:val="000000"/>
          <w:kern w:val="0"/>
          <w:sz w:val="27"/>
          <w:szCs w:val="27"/>
          <w:lang w:val="ru-RU" w:eastAsia="en-US" w:bidi="ar-SA"/>
        </w:rPr>
        <w:t>20</w:t>
      </w:r>
      <w:r>
        <w:rPr>
          <w:rFonts w:eastAsia="Calibri" w:cs="" w:cstheme="minorBidi" w:eastAsiaTheme="minorHAnsi"/>
          <w:sz w:val="27"/>
          <w:szCs w:val="27"/>
        </w:rPr>
        <w:t>%.</w:t>
      </w:r>
    </w:p>
    <w:p>
      <w:pPr>
        <w:pStyle w:val="Normal"/>
        <w:spacing w:lineRule="auto" w:line="240" w:before="0" w:after="0"/>
        <w:ind w:firstLine="902"/>
        <w:jc w:val="both"/>
        <w:rPr>
          <w:sz w:val="27"/>
          <w:szCs w:val="27"/>
        </w:rPr>
      </w:pPr>
      <w:r>
        <w:rPr>
          <w:sz w:val="27"/>
          <w:szCs w:val="27"/>
        </w:rPr>
        <w:t>В целом устранение выявленных нарушений на объектах ТЭК осуществляется в рамках выданных предписаний и в строгом соответствии с требованиями Федерального закона от 21 июля 2011 года № 256-ФЗ «О безопасности объектов топливно-энергетического комплекса», постановления Правительства РФ от 20 октября 2016 г. № 1067 «Об утверждении правил осуществления Федеральной службой войск национальной гвардии Российской Федерации и её территориальными органами федерального государственного контроля (надзора) за обеспечением безопасности объектов ТЭК».</w:t>
      </w:r>
    </w:p>
    <w:p>
      <w:pPr>
        <w:pStyle w:val="Normal"/>
        <w:spacing w:before="0" w:after="0"/>
        <w:ind w:firstLine="851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Проблемным вопросом в обеспечении безопасности объектов ТЭК остается сложность в устранении таких нарушений, как установка </w:t>
      </w:r>
      <w:r>
        <w:rPr>
          <w:sz w:val="27"/>
          <w:szCs w:val="27"/>
        </w:rPr>
        <w:t>КПП,</w:t>
      </w:r>
      <w:r>
        <w:rPr>
          <w:sz w:val="27"/>
          <w:szCs w:val="27"/>
        </w:rPr>
        <w:t xml:space="preserve"> СКУД, охранного телевидения, охранной сигнализации, организация физической защиты объекта.</w:t>
      </w:r>
    </w:p>
    <w:p>
      <w:pPr>
        <w:pStyle w:val="Normal"/>
        <w:spacing w:lineRule="auto" w:line="240" w:before="0" w:after="0"/>
        <w:ind w:firstLine="902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В настоящее время на контроле Управления Росгвардии по Мурманской области находится деятельность подконтрольных субъектов ТЭК по исполнению </w:t>
      </w:r>
      <w:r>
        <w:rPr>
          <w:rFonts w:eastAsia="Calibri" w:cs="" w:cstheme="minorBidi" w:eastAsiaTheme="minorHAnsi"/>
          <w:color w:val="000000"/>
          <w:kern w:val="0"/>
          <w:sz w:val="27"/>
          <w:szCs w:val="27"/>
          <w:lang w:val="ru-RU" w:eastAsia="en-US" w:bidi="ar-SA"/>
        </w:rPr>
        <w:t>24</w:t>
      </w:r>
      <w:r>
        <w:rPr>
          <w:sz w:val="27"/>
          <w:szCs w:val="27"/>
        </w:rPr>
        <w:t xml:space="preserve"> предписани</w:t>
      </w:r>
      <w:r>
        <w:rPr>
          <w:rFonts w:eastAsia="Calibri" w:cs="" w:cstheme="minorBidi" w:eastAsiaTheme="minorHAnsi"/>
          <w:color w:val="auto"/>
          <w:kern w:val="0"/>
          <w:sz w:val="27"/>
          <w:szCs w:val="27"/>
          <w:lang w:val="ru-RU" w:eastAsia="en-US" w:bidi="ar-SA"/>
        </w:rPr>
        <w:t>я</w:t>
      </w:r>
      <w:r>
        <w:rPr>
          <w:sz w:val="27"/>
          <w:szCs w:val="27"/>
        </w:rPr>
        <w:t xml:space="preserve"> об устранении нарушений обязательных требований Правил.</w:t>
      </w:r>
    </w:p>
    <w:p>
      <w:pPr>
        <w:pStyle w:val="Normal"/>
        <w:spacing w:before="0" w:after="0"/>
        <w:ind w:firstLine="540"/>
        <w:jc w:val="both"/>
        <w:rPr>
          <w:szCs w:val="28"/>
        </w:rPr>
      </w:pPr>
      <w:r>
        <w:rPr>
          <w:szCs w:val="28"/>
        </w:rPr>
      </w:r>
    </w:p>
    <w:p>
      <w:pPr>
        <w:pStyle w:val="Normal"/>
        <w:spacing w:lineRule="auto" w:line="240" w:before="0" w:after="0"/>
        <w:ind w:firstLine="708"/>
        <w:jc w:val="both"/>
        <w:rPr>
          <w:rFonts w:cs="Times New Roman"/>
          <w:b/>
          <w:b/>
          <w:szCs w:val="28"/>
        </w:rPr>
      </w:pPr>
      <w:r>
        <w:rPr>
          <w:rFonts w:cs="Times New Roman"/>
          <w:b/>
          <w:szCs w:val="28"/>
        </w:rPr>
        <w:t>Рекомендации в отношении мер, которые должны приниматься субъектами ТЭК в целях недопущения данных нарушений.</w:t>
      </w:r>
    </w:p>
    <w:p>
      <w:pPr>
        <w:pStyle w:val="Normal"/>
        <w:spacing w:lineRule="auto" w:line="240" w:before="0" w:after="0"/>
        <w:ind w:firstLine="902"/>
        <w:jc w:val="both"/>
        <w:rPr/>
      </w:pPr>
      <w:r>
        <w:rPr/>
      </w:r>
    </w:p>
    <w:p>
      <w:pPr>
        <w:pStyle w:val="Normal"/>
        <w:shd w:val="clear" w:color="auto" w:fill="FFFFFF"/>
        <w:spacing w:lineRule="auto" w:line="240" w:before="0" w:after="0"/>
        <w:ind w:firstLine="708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В качестве рекомендаций в отношении мер, которые должны приниматься юридическими лицами, индивидуальными предпринимателями в целях недопущения наиболее типичных нарушений, выявленных подразделением государственного контроля в 202</w:t>
      </w:r>
      <w:r>
        <w:rPr>
          <w:rFonts w:eastAsia="Times New Roman" w:cs="Times New Roman"/>
          <w:color w:val="auto"/>
          <w:kern w:val="0"/>
          <w:sz w:val="28"/>
          <w:szCs w:val="28"/>
          <w:lang w:val="ru-RU" w:eastAsia="ru-RU" w:bidi="ar-SA"/>
        </w:rPr>
        <w:t>2</w:t>
      </w:r>
      <w:r>
        <w:rPr>
          <w:rFonts w:eastAsia="Times New Roman" w:cs="Times New Roman"/>
          <w:szCs w:val="28"/>
          <w:lang w:eastAsia="ru-RU"/>
        </w:rPr>
        <w:t xml:space="preserve"> году, следует считать выполнение субъектами ТЭК мероприятий, направленных на обеспечение соблюдения законодательства в области безопасности и антитеррористической защищенности объектов ТЭК, а также приведение системы физической защиты объектов в соответствие с требованиями постановления Правительства Российской Федерации от 5 мая 2012 года      № 458дсп «Об утверждении Правил по обеспечению безопасности и антитеррористической защищенности объектов топливно-энергетического комплекса».</w:t>
      </w:r>
    </w:p>
    <w:p>
      <w:pPr>
        <w:pStyle w:val="Normal"/>
        <w:spacing w:lineRule="auto" w:line="240" w:before="0" w:after="0"/>
        <w:ind w:firstLine="902"/>
        <w:jc w:val="both"/>
        <w:rPr/>
      </w:pPr>
      <w:r>
        <w:rPr/>
        <w:t>С целью своевременного выявления недостатков в антитеррористической защищенности объектов ТЭК субъектам ТЭК необходимо обеспечить проведение комиссионных обследований объектов, находящихся в их ведении, в соответствии с требованиями законодательства РФ.</w:t>
      </w:r>
    </w:p>
    <w:p>
      <w:pPr>
        <w:pStyle w:val="Normal"/>
        <w:spacing w:lineRule="auto" w:line="240" w:before="0" w:after="0"/>
        <w:ind w:firstLine="902"/>
        <w:jc w:val="both"/>
        <w:rPr/>
      </w:pPr>
      <w:r>
        <w:rPr/>
      </w:r>
    </w:p>
    <w:p>
      <w:pPr>
        <w:pStyle w:val="Normal"/>
        <w:spacing w:lineRule="auto" w:line="240" w:before="0" w:after="0"/>
        <w:ind w:firstLine="902"/>
        <w:jc w:val="both"/>
        <w:rPr/>
      </w:pPr>
      <w:r>
        <w:rPr/>
      </w:r>
    </w:p>
    <w:p>
      <w:pPr>
        <w:pStyle w:val="Normal"/>
        <w:spacing w:lineRule="auto" w:line="240" w:before="0" w:after="0"/>
        <w:ind w:firstLine="902"/>
        <w:jc w:val="both"/>
        <w:rPr/>
      </w:pPr>
      <w:r>
        <w:rPr/>
      </w:r>
    </w:p>
    <w:p>
      <w:pPr>
        <w:pStyle w:val="Normal"/>
        <w:spacing w:lineRule="auto" w:line="240" w:before="0" w:after="0"/>
        <w:jc w:val="both"/>
        <w:rPr>
          <w:b/>
          <w:b/>
        </w:rPr>
      </w:pPr>
      <w:r>
        <w:rPr>
          <w:b/>
        </w:rPr>
        <w:t>ОГК Управления Росгвардии по Мурманской области</w:t>
      </w:r>
    </w:p>
    <w:sectPr>
      <w:footnotePr>
        <w:numFmt w:val="decimal"/>
      </w:footnote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81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default"/>
  </w:font>
  <w:font w:name="Segoe UI">
    <w:charset w:val="01"/>
    <w:family w:val="roman"/>
    <w:pitch w:val="default"/>
  </w:font>
  <w:font w:name="PT Astra Serif">
    <w:charset w:val="01"/>
    <w:family w:val="roman"/>
    <w:pitch w:val="default"/>
  </w:font>
  <w:font w:name="Calibri">
    <w:charset w:val="01"/>
    <w:family w:val="roman"/>
    <w:pitch w:val="default"/>
  </w:font>
  <w:font w:name="Times New Roman">
    <w:charset w:val="01"/>
    <w:family w:val="auto"/>
    <w:pitch w:val="default"/>
  </w:font>
</w:fonts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footnote w:id="0" w:type="separator">
    <w:p>
      <w:pPr>
        <w:rPr>
          <w:sz w:val="12"/>
        </w:rPr>
      </w:pPr>
      <w:r>
        <w:separator/>
      </w:r>
    </w:p>
  </w:footnote>
  <w:footnote w:id="1" w:type="continuationSeparator">
    <w:p>
      <w:pPr>
        <w:rPr>
          <w:sz w:val="12"/>
        </w:rPr>
      </w:pPr>
      <w:r>
        <w:continuationSeparator/>
      </w:r>
    </w:p>
  </w:footnote>
  <w:footnote w:id="2">
    <w:p>
      <w:pPr>
        <w:pStyle w:val="Style25"/>
        <w:rPr/>
      </w:pPr>
      <w:r>
        <w:rPr>
          <w:rStyle w:val="Style17"/>
        </w:rPr>
        <w:footnoteRef/>
      </w:r>
      <w:r>
        <w:rPr/>
        <w:t xml:space="preserve"> </w:t>
      </w:r>
      <w:r>
        <w:rPr/>
        <w:t>Далее – «ТЭК».</w:t>
      </w:r>
    </w:p>
  </w:footnote>
  <w:footnote w:id="3">
    <w:p>
      <w:pPr>
        <w:pStyle w:val="Style25"/>
        <w:rPr/>
      </w:pPr>
      <w:r>
        <w:rPr>
          <w:rStyle w:val="Style17"/>
        </w:rPr>
        <w:footnoteRef/>
      </w:r>
      <w:r>
        <w:rPr/>
        <w:t xml:space="preserve"> </w:t>
      </w:r>
      <w:r>
        <w:rPr/>
        <w:t>Далее - Правила</w:t>
      </w:r>
    </w:p>
  </w:footnote>
</w:footnote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upperRoman"/>
      <w:lvlText w:val="%1."/>
      <w:lvlJc w:val="left"/>
      <w:pPr>
        <w:tabs>
          <w:tab w:val="num" w:pos="0"/>
        </w:tabs>
        <w:ind w:left="1800" w:hanging="72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200" w:hanging="18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20"/>
  <w:defaultTabStop w:val="708"/>
  <w:autoHyphenation w:val="true"/>
  <w:footnotePr>
    <w:numFmt w:val="decimal"/>
    <w:footnote w:id="0"/>
    <w:footnote w:id="1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Calibri" w:cs="" w:cstheme="minorBidi" w:eastAsia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Times New Roman" w:hAnsi="Times New Roman" w:eastAsia="Calibri" w:cs="" w:cstheme="minorBidi" w:eastAsiaTheme="minorHAnsi"/>
      <w:color w:val="auto"/>
      <w:kern w:val="0"/>
      <w:sz w:val="28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сноски Знак"/>
    <w:basedOn w:val="DefaultParagraphFont"/>
    <w:link w:val="a5"/>
    <w:uiPriority w:val="99"/>
    <w:semiHidden/>
    <w:qFormat/>
    <w:rsid w:val="00fa17e3"/>
    <w:rPr>
      <w:sz w:val="20"/>
      <w:szCs w:val="20"/>
    </w:rPr>
  </w:style>
  <w:style w:type="character" w:styleId="Style15">
    <w:name w:val="Привязка сноски"/>
    <w:rPr>
      <w:vertAlign w:val="superscript"/>
    </w:rPr>
  </w:style>
  <w:style w:type="character" w:styleId="FootnoteCharacters">
    <w:name w:val="Footnote Characters"/>
    <w:basedOn w:val="DefaultParagraphFont"/>
    <w:uiPriority w:val="99"/>
    <w:semiHidden/>
    <w:unhideWhenUsed/>
    <w:qFormat/>
    <w:rsid w:val="00fa17e3"/>
    <w:rPr>
      <w:vertAlign w:val="superscript"/>
    </w:rPr>
  </w:style>
  <w:style w:type="character" w:styleId="Style16" w:customStyle="1">
    <w:name w:val="Текст выноски Знак"/>
    <w:basedOn w:val="DefaultParagraphFont"/>
    <w:link w:val="a8"/>
    <w:uiPriority w:val="99"/>
    <w:semiHidden/>
    <w:qFormat/>
    <w:rsid w:val="00880b8c"/>
    <w:rPr>
      <w:rFonts w:ascii="Segoe UI" w:hAnsi="Segoe UI" w:cs="Segoe UI"/>
      <w:sz w:val="18"/>
      <w:szCs w:val="18"/>
    </w:rPr>
  </w:style>
  <w:style w:type="character" w:styleId="Style17">
    <w:name w:val="Символ сноски"/>
    <w:qFormat/>
    <w:rPr/>
  </w:style>
  <w:style w:type="character" w:styleId="Style18">
    <w:name w:val="Привязка концевой сноски"/>
    <w:rPr>
      <w:vertAlign w:val="superscript"/>
    </w:rPr>
  </w:style>
  <w:style w:type="character" w:styleId="Style19">
    <w:name w:val="Символ концевой сноски"/>
    <w:qFormat/>
    <w:rPr/>
  </w:style>
  <w:style w:type="paragraph" w:styleId="Style20">
    <w:name w:val="Заголовок"/>
    <w:basedOn w:val="Normal"/>
    <w:next w:val="Style21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21">
    <w:name w:val="Body Text"/>
    <w:basedOn w:val="Normal"/>
    <w:pPr>
      <w:spacing w:lineRule="auto" w:line="276" w:before="0" w:after="140"/>
    </w:pPr>
    <w:rPr/>
  </w:style>
  <w:style w:type="paragraph" w:styleId="Style22">
    <w:name w:val="List"/>
    <w:basedOn w:val="Style21"/>
    <w:pPr/>
    <w:rPr>
      <w:rFonts w:ascii="PT Astra Serif" w:hAnsi="PT Astra Serif" w:cs="Noto Sans Devanagari"/>
    </w:rPr>
  </w:style>
  <w:style w:type="paragraph" w:styleId="Style23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4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ListParagraph">
    <w:name w:val="List Paragraph"/>
    <w:basedOn w:val="Normal"/>
    <w:uiPriority w:val="34"/>
    <w:qFormat/>
    <w:rsid w:val="00e219a0"/>
    <w:pPr>
      <w:spacing w:before="0" w:after="160"/>
      <w:ind w:left="720" w:hanging="0"/>
      <w:contextualSpacing/>
    </w:pPr>
    <w:rPr/>
  </w:style>
  <w:style w:type="paragraph" w:styleId="Style25">
    <w:name w:val="Footnote Text"/>
    <w:basedOn w:val="Normal"/>
    <w:link w:val="a6"/>
    <w:uiPriority w:val="99"/>
    <w:semiHidden/>
    <w:unhideWhenUsed/>
    <w:rsid w:val="00fa17e3"/>
    <w:pPr>
      <w:spacing w:lineRule="auto" w:line="240" w:before="0" w:after="0"/>
    </w:pPr>
    <w:rPr>
      <w:sz w:val="20"/>
      <w:szCs w:val="20"/>
    </w:rPr>
  </w:style>
  <w:style w:type="paragraph" w:styleId="ConsPlusTitle" w:customStyle="1">
    <w:name w:val="ConsPlusTitle"/>
    <w:qFormat/>
    <w:rsid w:val="00fa17e3"/>
    <w:pPr>
      <w:widowControl w:val="false"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b/>
      <w:color w:val="auto"/>
      <w:kern w:val="0"/>
      <w:sz w:val="28"/>
      <w:szCs w:val="20"/>
      <w:lang w:val="ru-RU" w:eastAsia="ru-RU" w:bidi="ar-SA"/>
    </w:rPr>
  </w:style>
  <w:style w:type="paragraph" w:styleId="BalloonText">
    <w:name w:val="Balloon Text"/>
    <w:basedOn w:val="Normal"/>
    <w:link w:val="a9"/>
    <w:uiPriority w:val="99"/>
    <w:semiHidden/>
    <w:unhideWhenUsed/>
    <w:qFormat/>
    <w:rsid w:val="00880b8c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paragraph" w:styleId="Style26">
    <w:name w:val="Содержимое таблицы"/>
    <w:basedOn w:val="Normal"/>
    <w:qFormat/>
    <w:pPr>
      <w:suppressLineNumbers/>
    </w:pPr>
    <w:rPr/>
  </w:style>
  <w:style w:type="paragraph" w:styleId="Style27">
    <w:name w:val="Заголовок таблицы"/>
    <w:basedOn w:val="Style26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39"/>
    <w:rsid w:val="00cf4acc"/>
    <w:pPr>
      <w:spacing w:after="0" w:line="240" w:lineRule="auto"/>
    </w:p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uiPriority w:val="59"/>
    <w:rsid w:val="004f57b4"/>
    <w:pPr>
      <w:spacing w:after="0" w:line="240" w:lineRule="auto"/>
    </w:pPr>
    <w:rPr>
      <w:rFonts w:asciiTheme="minorHAnsi" w:hAnsiTheme="minorHAnsi"/>
      <w:sz w:val="22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notes" Target="footnotes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3092D6-8106-49B7-A46E-7D987F59FC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Application>LibreOffice/6.4.7.2$Linux_X86_64 LibreOffice_project/72d9d5113b23a0ed474720f9d366fcde9a2744dd</Application>
  <Pages>4</Pages>
  <Words>1106</Words>
  <Characters>7832</Characters>
  <CharactersWithSpaces>8827</CharactersWithSpaces>
  <Paragraphs>126</Paragraphs>
  <Company>Hewlett-Packard Company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2020-07-27T11:04:00Z</dcterms:created>
  <dc:creator>Тимур</dc:creator>
  <dc:description/>
  <dc:language>ru-RU</dc:language>
  <cp:lastModifiedBy/>
  <cp:lastPrinted>2021-06-29T17:23:38Z</cp:lastPrinted>
  <dcterms:modified xsi:type="dcterms:W3CDTF">2022-12-09T11:36:30Z</dcterms:modified>
  <cp:revision>12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Hewlett-Packard Company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