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istParagraph"/>
        <w:ind w:left="0" w:hanging="0"/>
        <w:jc w:val="center"/>
        <w:rPr/>
      </w:pPr>
      <w:r>
        <w:rPr/>
        <w:t>Информацион</w:t>
      </w:r>
      <w:bookmarkStart w:id="0" w:name="_GoBack"/>
      <w:bookmarkEnd w:id="0"/>
      <w:r>
        <w:rPr/>
        <w:t>но-аналитические материалы</w:t>
      </w:r>
    </w:p>
    <w:p>
      <w:pPr>
        <w:pStyle w:val="ListParagraph"/>
        <w:ind w:left="0" w:hanging="0"/>
        <w:jc w:val="center"/>
        <w:rPr/>
      </w:pPr>
      <w:r>
        <w:rPr/>
        <w:t xml:space="preserve"> </w:t>
      </w:r>
      <w:r>
        <w:rPr/>
        <w:t>о состоянии и проблемных вопросах антитеррористической защищенности объектов топливно-энергетического комплекса Мурманской области</w:t>
      </w:r>
    </w:p>
    <w:p>
      <w:pPr>
        <w:pStyle w:val="ListParagraph"/>
        <w:ind w:left="0" w:hanging="0"/>
        <w:jc w:val="center"/>
        <w:rPr/>
      </w:pPr>
      <w:r>
        <w:rPr/>
        <w:t xml:space="preserve"> </w:t>
      </w:r>
      <w:r>
        <w:rPr/>
        <w:t>за первое полугодие 2023 года.</w:t>
      </w:r>
    </w:p>
    <w:p>
      <w:pPr>
        <w:pStyle w:val="ListParagraph"/>
        <w:ind w:left="1080" w:hanging="0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Статистическая часть</w:t>
      </w:r>
    </w:p>
    <w:tbl>
      <w:tblPr>
        <w:tblStyle w:val="1"/>
        <w:tblW w:w="9190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16"/>
        <w:gridCol w:w="759"/>
        <w:gridCol w:w="412"/>
        <w:gridCol w:w="4740"/>
        <w:gridCol w:w="1230"/>
        <w:gridCol w:w="1232"/>
      </w:tblGrid>
      <w:tr>
        <w:trPr>
          <w:trHeight w:val="30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Calibri" w:hAnsi="Calibri"/>
                <w:b/>
                <w:sz w:val="22"/>
              </w:rPr>
              <w:t xml:space="preserve">№ </w:t>
            </w:r>
            <w:r>
              <w:rPr>
                <w:rFonts w:cs="Times New Roman" w:ascii="Calibri" w:hAnsi="Calibri"/>
                <w:b/>
                <w:sz w:val="22"/>
              </w:rPr>
              <w:t>п/п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b/>
                <w:sz w:val="22"/>
              </w:rPr>
              <w:t>Наименование показателя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Calibri" w:hAnsi="Calibri"/>
                <w:b/>
                <w:sz w:val="22"/>
              </w:rPr>
              <w:t>1-ое полугодие 202</w:t>
            </w:r>
            <w:r>
              <w:rPr>
                <w:rFonts w:cs="Times New Roman" w:ascii="Calibri" w:hAnsi="Calibri"/>
                <w:b/>
                <w:sz w:val="22"/>
              </w:rPr>
              <w:t>2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Calibri" w:hAnsi="Calibri"/>
                <w:b/>
                <w:sz w:val="22"/>
              </w:rPr>
              <w:t xml:space="preserve">1-ое полугодие </w:t>
            </w:r>
            <w:r>
              <w:rPr>
                <w:rFonts w:cs="Times New Roman" w:ascii="Calibri" w:hAnsi="Calibri"/>
                <w:b/>
                <w:sz w:val="22"/>
                <w:lang w:val="en-US"/>
              </w:rPr>
              <w:t>20</w:t>
            </w:r>
            <w:r>
              <w:rPr>
                <w:rFonts w:cs="Times New Roman" w:ascii="Calibri" w:hAnsi="Calibri"/>
                <w:b/>
                <w:sz w:val="22"/>
              </w:rPr>
              <w:t>2</w:t>
            </w:r>
            <w:r>
              <w:rPr>
                <w:rFonts w:cs="Times New Roman" w:ascii="Calibri" w:hAnsi="Calibri"/>
                <w:b/>
                <w:sz w:val="22"/>
              </w:rPr>
              <w:t>3</w:t>
            </w:r>
          </w:p>
        </w:tc>
      </w:tr>
      <w:tr>
        <w:trPr>
          <w:trHeight w:val="321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проведенных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38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1.1</w:t>
            </w:r>
          </w:p>
        </w:tc>
        <w:tc>
          <w:tcPr>
            <w:tcW w:w="759" w:type="dxa"/>
            <w:vMerge w:val="restart"/>
            <w:tcBorders/>
            <w:textDirection w:val="btLr"/>
            <w:vAlign w:val="center"/>
          </w:tcPr>
          <w:p>
            <w:pPr>
              <w:pStyle w:val="Normal"/>
              <w:spacing w:lineRule="auto" w:line="240" w:before="0" w:after="0"/>
              <w:ind w:left="113" w:right="113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из них</w:t>
            </w:r>
          </w:p>
        </w:tc>
        <w:tc>
          <w:tcPr>
            <w:tcW w:w="5152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количество проведенных плановых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37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</w:p>
        </w:tc>
      </w:tr>
      <w:tr>
        <w:trPr>
          <w:trHeight w:val="30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1.2.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cs="Times New Roman"/>
              </w:rPr>
            </w:pPr>
            <w:r>
              <w:rPr>
                <w:rFonts w:cs="Times New Roman" w:ascii="Calibri" w:hAnsi="Calibri"/>
              </w:rPr>
            </w:r>
          </w:p>
        </w:tc>
        <w:tc>
          <w:tcPr>
            <w:tcW w:w="5152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количество проведенных внеплановых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</w:t>
            </w:r>
          </w:p>
        </w:tc>
      </w:tr>
      <w:tr>
        <w:trPr>
          <w:trHeight w:val="567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выявленных нарушений обязательных требований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40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17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2.1.</w:t>
            </w:r>
          </w:p>
        </w:tc>
        <w:tc>
          <w:tcPr>
            <w:tcW w:w="759" w:type="dxa"/>
            <w:vMerge w:val="restart"/>
            <w:tcBorders/>
            <w:textDirection w:val="btL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в том числе</w:t>
            </w:r>
          </w:p>
        </w:tc>
        <w:tc>
          <w:tcPr>
            <w:tcW w:w="5152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построению системы физической защиты объекта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4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5152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инженерно-техническим средствам охраны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36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15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2.2.1.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restart"/>
            <w:tcBorders/>
            <w:textDirection w:val="btL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из них</w:t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инженерно-техническим средствам защиты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16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8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2.2.2.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охранной сигнализации объекта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8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2.2.3.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сбора и обработки информации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2.2.4.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контроля и управления доступом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2.2.5.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специальным техническим средствам досмотра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</w:tr>
      <w:tr>
        <w:trPr>
          <w:trHeight w:val="27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2.2.6.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охранной телевизионной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</w:t>
            </w:r>
          </w:p>
        </w:tc>
      </w:tr>
      <w:tr>
        <w:trPr>
          <w:trHeight w:val="33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2.2.7.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оперативной связи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2.2.8.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охранного освещения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3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1</w:t>
            </w:r>
          </w:p>
        </w:tc>
      </w:tr>
      <w:tr>
        <w:trPr>
          <w:trHeight w:val="36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2.2.9.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оповещения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2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</w:tr>
      <w:tr>
        <w:trPr>
          <w:trHeight w:val="375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-113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2.2.10.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12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474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к системе электропитания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asciiTheme="minorHAnsi" w:hAnsiTheme="minorHAnsi"/>
                <w:sz w:val="22"/>
              </w:rPr>
            </w:pPr>
            <w:r>
              <w:rPr>
                <w:rFonts w:ascii="Calibri" w:hAnsi="Calibri" w:asciiTheme="minorHAnsi" w:hAnsiTheme="minorHAnsi"/>
                <w:sz w:val="22"/>
              </w:rPr>
              <w:t>0</w:t>
            </w:r>
          </w:p>
        </w:tc>
      </w:tr>
      <w:tr>
        <w:trPr>
          <w:trHeight w:val="300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-57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2.2.11.</w:t>
            </w:r>
          </w:p>
        </w:tc>
        <w:tc>
          <w:tcPr>
            <w:tcW w:w="759" w:type="dxa"/>
            <w:vMerge w:val="continue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5152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иных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Calibri" w:hAnsi="Calibri"/>
                <w:sz w:val="22"/>
              </w:rPr>
              <w:t>0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3.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выданных предписаний об устранении нарушений в обеспечении безопасности и антитеррористической защищенности объектов ТЭК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 w:ascii="Calibri" w:hAnsi="Calibri" w:asciiTheme="minorHAnsi" w:hAnsiTheme="minorHAnsi"/>
                <w:color w:val="auto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4.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составленных протоколов об административных правонарушениях, предусмотренных статьей 20.30 КоАП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Calibri" w:hAnsi="Calibri"/>
                <w:sz w:val="22"/>
                <w:lang w:val="en-US"/>
              </w:rPr>
              <w:t>3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Calibri" w:hAnsi="Calibri"/>
                <w:sz w:val="22"/>
                <w:lang w:val="en-US"/>
              </w:rPr>
              <w:t>1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5.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административных наказаний, назначенных судебными органами по итогам плановых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Calibri" w:cs="Times New Roman" w:asciiTheme="minorHAnsi" w:hAnsiTheme="minorHAnsi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 w:ascii="Calibri" w:hAnsi="Calibri" w:asciiTheme="minorHAnsi" w:hAnsiTheme="minorHAnsi"/>
                <w:color w:val="auto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cs="Times New Roman"/>
              </w:rPr>
            </w:pPr>
            <w:r>
              <w:rPr>
                <w:rFonts w:cs="Times New Roman" w:ascii="Calibri" w:hAnsi="Calibri"/>
                <w:sz w:val="22"/>
              </w:rPr>
              <w:t>6.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составленных в отношении должностных лиц протоколов об административных правонарушениях, предусмотренных статьей 19.5 КоАП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cs="Times New Roman"/>
              </w:rPr>
            </w:pPr>
            <w:r>
              <w:rPr>
                <w:rFonts w:cs="Times New Roman" w:ascii="Calibri" w:hAnsi="Calibri"/>
                <w:sz w:val="22"/>
              </w:rPr>
              <w:t>7.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административных наказаний, назначенных по итогам внеплановых проверок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1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2</w:t>
            </w:r>
          </w:p>
        </w:tc>
      </w:tr>
      <w:tr>
        <w:trPr>
          <w:trHeight w:val="833" w:hRule="atLeast"/>
        </w:trPr>
        <w:tc>
          <w:tcPr>
            <w:tcW w:w="8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8.</w:t>
            </w:r>
          </w:p>
        </w:tc>
        <w:tc>
          <w:tcPr>
            <w:tcW w:w="5911" w:type="dxa"/>
            <w:gridSpan w:val="3"/>
            <w:tcBorders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Общее количество штатных единиц по должностям, предусматривающим функции по федеральному государственному контролю (надзору)</w:t>
            </w:r>
          </w:p>
        </w:tc>
        <w:tc>
          <w:tcPr>
            <w:tcW w:w="123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Calibri" w:hAnsi="Calibri"/>
                <w:sz w:val="22"/>
              </w:rPr>
              <w:t>8</w:t>
            </w:r>
          </w:p>
        </w:tc>
        <w:tc>
          <w:tcPr>
            <w:tcW w:w="12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Calibri" w:hAnsi="Calibri"/>
                <w:color w:val="auto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</w:tr>
    </w:tbl>
    <w:p>
      <w:pPr>
        <w:pStyle w:val="Normal"/>
        <w:spacing w:before="240" w:after="160"/>
        <w:ind w:left="1077" w:hanging="0"/>
        <w:rPr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before="240" w:after="160"/>
        <w:ind w:left="1077" w:hanging="0"/>
        <w:rPr>
          <w:sz w:val="27"/>
          <w:szCs w:val="27"/>
        </w:rPr>
      </w:pP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>. Аналитическая часть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Порядок организации и проведения проверок объектов топливно-энергетического комплекса</w:t>
      </w:r>
      <w:r>
        <w:rPr>
          <w:rStyle w:val="Style15"/>
          <w:sz w:val="27"/>
          <w:szCs w:val="27"/>
        </w:rPr>
        <w:footnoteReference w:id="2"/>
      </w:r>
      <w:r>
        <w:rPr>
          <w:sz w:val="27"/>
          <w:szCs w:val="27"/>
        </w:rPr>
        <w:t xml:space="preserve"> регламентируется Федеральным законом от 21 июля 2011 года № 256-ФЗ «О безопасности объектов ТЭК» и раскрывается положениями постановления Правительства РФ от 20 октября 2016 г. № 1067 «Об утверждении правил осуществления Федеральной службой войск национальной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 ТЭК»: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3 раздела </w:t>
      </w:r>
      <w:r>
        <w:rPr>
          <w:sz w:val="27"/>
          <w:szCs w:val="27"/>
          <w:lang w:val="en-US"/>
        </w:rPr>
        <w:t>I</w:t>
      </w:r>
      <w:r>
        <w:rPr>
          <w:sz w:val="27"/>
          <w:szCs w:val="27"/>
        </w:rPr>
        <w:t xml:space="preserve"> данного постановления государственный контроль (надзор) осуществляется путем проведения документарных и выездных проверок, которые могут носить плановый и внеплановый характер.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9 раздела </w:t>
      </w: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 xml:space="preserve"> - плановая проверка в отношении объектов ТЭК проводится не чаще одного раза в год для объектов высокой и средней категории опасности и одного раза в 3 года для объектов низкой категории опасности, начиная с даты окончания предыдущей проверки.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19 раздела </w:t>
      </w:r>
      <w:r>
        <w:rPr>
          <w:sz w:val="27"/>
          <w:szCs w:val="27"/>
          <w:lang w:val="en-US"/>
        </w:rPr>
        <w:t>III</w:t>
      </w:r>
      <w:r>
        <w:rPr>
          <w:sz w:val="27"/>
          <w:szCs w:val="27"/>
        </w:rPr>
        <w:t xml:space="preserve"> - основаниями для проведения внеплановой проверки являются: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а)</w:t>
        <w:tab/>
        <w:t>истечение срока исполнения выданного предписания об устранении выявленных нарушений;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б)</w:t>
        <w:tab/>
        <w:t>поступление в орган государственного контроля (надзора) обращений и заявлений граждан, юридических лиц и (или) индивидуальных предпринимателей, информации от органов государственной власти и органов местного самоуправления, из средств массовой информации о причинении вреда жизни, здоровью людей, безопасности государства, повреждении или об уничтожении имущества физических или юридических лиц, государственного или муниципального имущества вследствие совершения акта незаконного вмешательства либо угрозы его совершения, а также неисполнения или ненадлежащего исполнения субъектом ТЭК требований обеспечения безопасности;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в)</w:t>
        <w:tab/>
        <w:t>распоряжение руководителя (лица, его замещающего) органа государственного контроля (надзора) о проведении внеплановой проверки, изданное в соответствии с поручениями и указаниями Президента Российской Федерации, поручениями Правительства Российской Федерации.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соответствии с Перечнем объектов ТЭК Мурманской области, подлежащих категорированию, на территории региона расположено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146</w:t>
      </w:r>
      <w:r>
        <w:rPr>
          <w:sz w:val="27"/>
          <w:szCs w:val="27"/>
        </w:rPr>
        <w:t xml:space="preserve"> объектов ТЭК, принадлежащи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х</w:t>
      </w:r>
      <w:r>
        <w:rPr>
          <w:sz w:val="27"/>
          <w:szCs w:val="27"/>
        </w:rPr>
        <w:t xml:space="preserve"> на различных правах 31 юридическому лицу (субъектам ТЭК), которым присвоены категории опасности: 30 объектов – средней категории опасности и 65 – низкой категории опасности, объекты высокой категории опасности на территории Мурманской области отсутствуют.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течение 1-ого полугодия 2023 года отделом государственного контроля Управления Росгвардии по Мурманской области осуществлен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а</w:t>
      </w:r>
      <w:r>
        <w:rPr>
          <w:sz w:val="27"/>
          <w:szCs w:val="27"/>
        </w:rPr>
        <w:t xml:space="preserve">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sz w:val="27"/>
          <w:szCs w:val="27"/>
        </w:rPr>
        <w:t xml:space="preserve"> планов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ая</w:t>
      </w:r>
      <w:r>
        <w:rPr>
          <w:sz w:val="27"/>
          <w:szCs w:val="27"/>
        </w:rPr>
        <w:t xml:space="preserve"> провер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ка</w:t>
      </w:r>
      <w:r>
        <w:rPr>
          <w:sz w:val="27"/>
          <w:szCs w:val="27"/>
        </w:rPr>
        <w:t xml:space="preserve"> объект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а</w:t>
      </w:r>
      <w:r>
        <w:rPr>
          <w:sz w:val="27"/>
          <w:szCs w:val="27"/>
        </w:rPr>
        <w:t xml:space="preserve"> ТЭК, осуществляющ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его</w:t>
      </w:r>
      <w:r>
        <w:rPr>
          <w:sz w:val="27"/>
          <w:szCs w:val="27"/>
        </w:rPr>
        <w:t xml:space="preserve"> свою деятельность на территории Мурманской области, что на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36</w:t>
      </w:r>
      <w:r>
        <w:rPr>
          <w:sz w:val="27"/>
          <w:szCs w:val="27"/>
        </w:rPr>
        <w:t xml:space="preserve"> провер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ок</w:t>
      </w:r>
      <w:r>
        <w:rPr>
          <w:sz w:val="27"/>
          <w:szCs w:val="27"/>
        </w:rPr>
        <w:t xml:space="preserve"> меньше чем в аналогичном периоде прошлого года (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37</w:t>
      </w:r>
      <w:r>
        <w:rPr>
          <w:sz w:val="27"/>
          <w:szCs w:val="27"/>
        </w:rPr>
        <w:t>).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Кроме того, в течение 1-го полугодия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</w:t>
      </w:r>
      <w:r>
        <w:rPr>
          <w:sz w:val="27"/>
          <w:szCs w:val="27"/>
        </w:rPr>
        <w:t xml:space="preserve"> года по истечению сроков выданных предписаний проведен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ы</w:t>
      </w:r>
      <w:r>
        <w:rPr>
          <w:sz w:val="27"/>
          <w:szCs w:val="27"/>
        </w:rPr>
        <w:t xml:space="preserve">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внепланов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ые</w:t>
      </w:r>
      <w:r>
        <w:rPr>
          <w:sz w:val="27"/>
          <w:szCs w:val="27"/>
        </w:rPr>
        <w:t xml:space="preserve"> провер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ки,что на 1 проверку больше чем в аналогичном периоде прошлого года (1)</w:t>
      </w:r>
      <w:r>
        <w:rPr>
          <w:sz w:val="27"/>
          <w:szCs w:val="27"/>
        </w:rPr>
        <w:t>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Количество выявленных нарушений обязательных требований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п</w:t>
      </w:r>
      <w:r>
        <w:rPr>
          <w:sz w:val="27"/>
          <w:szCs w:val="27"/>
        </w:rPr>
        <w:t>равил по обеспечению безопасности объектов ТЭК, утвержденных постановлением Правительства Российской Федерации от 05.05.2012 г. № 458дсп «Об утверждении правил 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Style15"/>
          <w:sz w:val="27"/>
          <w:szCs w:val="27"/>
        </w:rPr>
        <w:footnoteReference w:id="3"/>
      </w:r>
      <w:r>
        <w:rPr>
          <w:sz w:val="27"/>
          <w:szCs w:val="27"/>
        </w:rPr>
        <w:t xml:space="preserve">, составило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17</w:t>
      </w:r>
      <w:r>
        <w:rPr>
          <w:sz w:val="27"/>
          <w:szCs w:val="27"/>
        </w:rPr>
        <w:t xml:space="preserve"> в 1-ом полугодии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</w:t>
      </w:r>
      <w:r>
        <w:rPr>
          <w:sz w:val="27"/>
          <w:szCs w:val="27"/>
        </w:rPr>
        <w:t xml:space="preserve"> года относительно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40</w:t>
      </w:r>
      <w:r>
        <w:rPr>
          <w:sz w:val="27"/>
          <w:szCs w:val="27"/>
        </w:rPr>
        <w:t>, выявленных в 1-ом полугодии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года. Предписаний об устранении нарушений в обеспечении безопасности и антитеррористической защищенности объектов ТЭК в отчетном периоде выдано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sz w:val="27"/>
          <w:szCs w:val="27"/>
        </w:rPr>
        <w:t>, в аналогичном периоде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года таких предписаний было выдано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4</w:t>
      </w:r>
      <w:r>
        <w:rPr>
          <w:sz w:val="27"/>
          <w:szCs w:val="27"/>
        </w:rPr>
        <w:t xml:space="preserve">. 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отношении юридических и должностных лиц в 1-ом полугодии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года составлено 3 протокол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а</w:t>
      </w:r>
      <w:r>
        <w:rPr>
          <w:sz w:val="27"/>
          <w:szCs w:val="27"/>
        </w:rPr>
        <w:t xml:space="preserve"> об административных правонарушениях по ст. 20.30 КоАП РФ, в 1-ом полугодии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</w:t>
      </w:r>
      <w:r>
        <w:rPr>
          <w:sz w:val="27"/>
          <w:szCs w:val="27"/>
        </w:rPr>
        <w:t xml:space="preserve"> года составлен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sz w:val="27"/>
          <w:szCs w:val="27"/>
        </w:rPr>
        <w:t xml:space="preserve"> протокол в отношении юридическ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ого</w:t>
      </w:r>
      <w:r>
        <w:rPr>
          <w:sz w:val="27"/>
          <w:szCs w:val="27"/>
        </w:rPr>
        <w:t xml:space="preserve"> лица. Кроме того, в 1-ом полугодии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года в отношении должностных лиц субъектов ТЭК, ответственных за обеспечение безопасности и антитеррористической защищенности объектов ТЭК, был составлен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1</w:t>
      </w:r>
      <w:r>
        <w:rPr>
          <w:sz w:val="27"/>
          <w:szCs w:val="27"/>
        </w:rPr>
        <w:t xml:space="preserve"> протокол об административн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ом</w:t>
      </w:r>
      <w:r>
        <w:rPr>
          <w:sz w:val="27"/>
          <w:szCs w:val="27"/>
        </w:rPr>
        <w:t xml:space="preserve"> правонарушени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и</w:t>
      </w:r>
      <w:r>
        <w:rPr>
          <w:sz w:val="27"/>
          <w:szCs w:val="27"/>
        </w:rPr>
        <w:t xml:space="preserve"> по ст. 19.5 КоАП РФ, в 1-ом полугодии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</w:t>
      </w:r>
      <w:r>
        <w:rPr>
          <w:sz w:val="27"/>
          <w:szCs w:val="27"/>
        </w:rPr>
        <w:t xml:space="preserve"> года </w:t>
      </w:r>
      <w:r>
        <w:rPr>
          <w:rFonts w:eastAsia="Calibri" w:cs="" w:cstheme="minorBidi" w:eastAsiaTheme="minorHAnsi"/>
          <w:sz w:val="27"/>
          <w:szCs w:val="27"/>
        </w:rPr>
        <w:t>–</w:t>
      </w:r>
      <w:r>
        <w:rPr>
          <w:sz w:val="27"/>
          <w:szCs w:val="27"/>
        </w:rPr>
        <w:t xml:space="preserve">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протокола (1 в отношении должностного лица и 1 в отношении юридическ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ого</w:t>
      </w:r>
      <w:r>
        <w:rPr>
          <w:sz w:val="27"/>
          <w:szCs w:val="27"/>
        </w:rPr>
        <w:t xml:space="preserve"> лица).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Анализ выявленных в результате проведения плановых проверок нарушений показывает, что наиболее </w:t>
      </w:r>
      <w:r>
        <w:rPr>
          <w:rFonts w:eastAsia="Calibri" w:cs="" w:cstheme="minorBidi" w:eastAsiaTheme="minorHAnsi"/>
          <w:sz w:val="27"/>
          <w:szCs w:val="27"/>
        </w:rPr>
        <w:t xml:space="preserve">распространенными являются нарушения обязательных требований к инженерно-техническим средствам защиты –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15</w:t>
      </w:r>
      <w:r>
        <w:rPr>
          <w:rFonts w:eastAsia="Calibri" w:cs="" w:cstheme="minorBidi" w:eastAsiaTheme="minorHAnsi"/>
          <w:sz w:val="27"/>
          <w:szCs w:val="27"/>
        </w:rPr>
        <w:t xml:space="preserve">, что составляет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88</w:t>
      </w:r>
      <w:r>
        <w:rPr>
          <w:rFonts w:eastAsia="Calibri" w:cs="" w:cstheme="minorBidi" w:eastAsiaTheme="minorHAnsi"/>
          <w:sz w:val="27"/>
          <w:szCs w:val="27"/>
        </w:rPr>
        <w:t xml:space="preserve">% от общего числа выявленных нарушений. Наиболее часто встречающимися из них являются нарушения обязательных требований к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инженерно-техническим средствам защиты – 8 или 53%</w:t>
      </w:r>
      <w:r>
        <w:rPr>
          <w:rFonts w:eastAsia="Calibri" w:cs="" w:cstheme="minorBidi" w:eastAsiaTheme="minorHAnsi"/>
          <w:sz w:val="27"/>
          <w:szCs w:val="27"/>
        </w:rPr>
        <w:t xml:space="preserve">. Ещё одним из распространённых нарушений является нарушение обязательных требований к системе охранной сигнализации объекта –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3</w:t>
      </w:r>
      <w:r>
        <w:rPr>
          <w:rFonts w:eastAsia="Calibri" w:cs="" w:cstheme="minorBidi" w:eastAsiaTheme="minorHAnsi"/>
          <w:sz w:val="27"/>
          <w:szCs w:val="27"/>
        </w:rPr>
        <w:t xml:space="preserve"> или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20</w:t>
      </w:r>
      <w:r>
        <w:rPr>
          <w:rFonts w:eastAsia="Calibri" w:cs="" w:cstheme="minorBidi" w:eastAsiaTheme="minorHAnsi"/>
          <w:sz w:val="27"/>
          <w:szCs w:val="27"/>
        </w:rPr>
        <w:t>%.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По результатам внепланов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ых</w:t>
      </w:r>
      <w:r>
        <w:rPr>
          <w:sz w:val="27"/>
          <w:szCs w:val="27"/>
        </w:rPr>
        <w:t xml:space="preserve"> провер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ок</w:t>
      </w:r>
      <w:r>
        <w:rPr>
          <w:sz w:val="27"/>
          <w:szCs w:val="27"/>
        </w:rPr>
        <w:t xml:space="preserve"> в 1-ом полугодии 202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3</w:t>
      </w:r>
      <w:r>
        <w:rPr>
          <w:sz w:val="27"/>
          <w:szCs w:val="27"/>
        </w:rPr>
        <w:t xml:space="preserve"> года установлено, что имеющиеся нарушения в антитеррористической защищённости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2</w:t>
      </w:r>
      <w:r>
        <w:rPr>
          <w:sz w:val="27"/>
          <w:szCs w:val="27"/>
        </w:rPr>
        <w:t xml:space="preserve"> объект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ов</w:t>
      </w:r>
      <w:r>
        <w:rPr>
          <w:sz w:val="27"/>
          <w:szCs w:val="27"/>
        </w:rPr>
        <w:t xml:space="preserve"> ТЭК, не устранены. В связи с этим на должностное лицо 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ОО</w:t>
      </w:r>
      <w:r>
        <w:rPr>
          <w:sz w:val="27"/>
          <w:szCs w:val="27"/>
        </w:rPr>
        <w:t>О «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Теплонорд</w:t>
      </w:r>
      <w:r>
        <w:rPr>
          <w:sz w:val="27"/>
          <w:szCs w:val="27"/>
        </w:rPr>
        <w:t>» и юридическое лицо АО «МЭС» составлены и рассмотрены протоколы об административн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ых</w:t>
      </w:r>
      <w:r>
        <w:rPr>
          <w:sz w:val="27"/>
          <w:szCs w:val="27"/>
        </w:rPr>
        <w:t xml:space="preserve"> правонарушени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ях</w:t>
      </w:r>
      <w:r>
        <w:rPr>
          <w:sz w:val="27"/>
          <w:szCs w:val="27"/>
        </w:rPr>
        <w:t xml:space="preserve"> по ст. 19.5 КоАП РФ, лиц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а</w:t>
      </w:r>
      <w:r>
        <w:rPr>
          <w:sz w:val="27"/>
          <w:szCs w:val="27"/>
        </w:rPr>
        <w:t xml:space="preserve"> привлечен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ы</w:t>
      </w:r>
      <w:r>
        <w:rPr>
          <w:sz w:val="27"/>
          <w:szCs w:val="27"/>
        </w:rPr>
        <w:t xml:space="preserve"> к административной ответственности.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целом устранение выявленных нарушений на объектах ТЭК осуществляется в рамках выданных предписаний и в строгом соответствии с требованиями Федерального закона от 21 июля 2011 года № 256-ФЗ «О безопасности объектов топливно-энергетического комплекса», постановления Правительства РФ от 20 октября 2016 г. № 1067 «Об утверждении правил осуществления Федеральной службой войск национальной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 ТЭК».</w:t>
      </w:r>
    </w:p>
    <w:p>
      <w:pPr>
        <w:pStyle w:val="Normal"/>
        <w:spacing w:before="0" w:after="0"/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Проблемным вопросом в обеспечении безопасности объектов ТЭК остается сложность в устранении таких нарушений, как установка СКУД, охранного телевидения, охранной сигнализации, организация физической защиты объекта.</w:t>
      </w:r>
    </w:p>
    <w:p>
      <w:pPr>
        <w:pStyle w:val="Normal"/>
        <w:spacing w:lineRule="auto" w:line="240" w:before="0" w:after="0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настоящее время на контроле Управления Росгвардии по Мурманской области находится деятельность подконтрольных субъектов ТЭК по исполнению </w:t>
      </w:r>
      <w:r>
        <w:rPr>
          <w:rFonts w:eastAsia="Calibri" w:cs="" w:cstheme="minorBidi" w:eastAsiaTheme="minorHAnsi"/>
          <w:color w:val="000000"/>
          <w:kern w:val="0"/>
          <w:sz w:val="27"/>
          <w:szCs w:val="27"/>
          <w:lang w:val="ru-RU" w:eastAsia="en-US" w:bidi="ar-SA"/>
        </w:rPr>
        <w:t>23</w:t>
      </w:r>
      <w:r>
        <w:rPr>
          <w:sz w:val="27"/>
          <w:szCs w:val="27"/>
        </w:rPr>
        <w:t xml:space="preserve"> предписани</w:t>
      </w:r>
      <w:r>
        <w:rPr>
          <w:rFonts w:eastAsia="Calibri" w:cs="" w:cstheme="minorBidi" w:eastAsiaTheme="minorHAnsi"/>
          <w:color w:val="auto"/>
          <w:kern w:val="0"/>
          <w:sz w:val="27"/>
          <w:szCs w:val="27"/>
          <w:lang w:val="ru-RU" w:eastAsia="en-US" w:bidi="ar-SA"/>
        </w:rPr>
        <w:t>й</w:t>
      </w:r>
      <w:r>
        <w:rPr>
          <w:sz w:val="27"/>
          <w:szCs w:val="27"/>
        </w:rPr>
        <w:t xml:space="preserve"> об устранении нарушений обязательных требований Правил.</w:t>
      </w:r>
    </w:p>
    <w:p>
      <w:pPr>
        <w:pStyle w:val="Normal"/>
        <w:spacing w:before="0" w:after="0"/>
        <w:ind w:firstLine="540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cs="Times New Roman"/>
          <w:b/>
          <w:b/>
          <w:szCs w:val="28"/>
        </w:rPr>
      </w:pPr>
      <w:r>
        <w:rPr>
          <w:rFonts w:cs="Times New Roman"/>
          <w:b/>
          <w:szCs w:val="28"/>
        </w:rPr>
        <w:t>Рекомендации в отношении мер, которые должны приниматься субъектами ТЭК в целях недопущения данных нарушений.</w:t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качестве рекомендаций в отношении мер, которые должны приниматься юридическими лицами, индивидуальными предпринимателями в целях недопущения наиболее типичных нарушений, выявленных подразделением государственного контроля в 202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3</w:t>
      </w:r>
      <w:r>
        <w:rPr>
          <w:rFonts w:eastAsia="Times New Roman" w:cs="Times New Roman"/>
          <w:szCs w:val="28"/>
          <w:lang w:eastAsia="ru-RU"/>
        </w:rPr>
        <w:t xml:space="preserve"> году, следует считать выполнение субъектами ТЭК мероприятий, направленных на обеспечение соблюдения законодательства в области безопасности и антитеррористической защищенности объектов ТЭК, а также приведение системы физической защиты объектов в соответствие с требованиями постановления Правительства Российской Федерации от 5 мая 2012 года      № 458дсп «Об утверждении Правил по обеспечению безопасности и антитеррористической защищенности объектов топливно-энергетического комплекса».</w:t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  <w:t>С целью своевременного выявления недостатков в антитеррористической защищенности объектов ТЭК субъектам ТЭК необходимо обеспечить проведение комиссионных обследований объектов, находящихся в их ведении, в соответствии с требованиями законодательства РФ.</w:t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902"/>
        <w:jc w:val="both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b/>
          <w:b/>
        </w:rPr>
      </w:pPr>
      <w:r>
        <w:rPr>
          <w:b/>
        </w:rPr>
        <w:t>ОГК Управления Росгвардии по Мурманской области</w:t>
      </w:r>
    </w:p>
    <w:sectPr>
      <w:footnotePr>
        <w:numFmt w:val="decimal"/>
      </w:footnote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Calibri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5"/>
        <w:rPr/>
      </w:pPr>
      <w:r>
        <w:rPr>
          <w:rStyle w:val="Style17"/>
        </w:rPr>
        <w:footnoteRef/>
      </w:r>
      <w:r>
        <w:rPr/>
        <w:t xml:space="preserve"> </w:t>
      </w:r>
      <w:r>
        <w:rPr/>
        <w:t>Далее – «ТЭК».</w:t>
      </w:r>
    </w:p>
  </w:footnote>
  <w:footnote w:id="3">
    <w:p>
      <w:pPr>
        <w:pStyle w:val="Style25"/>
        <w:rPr/>
      </w:pPr>
      <w:r>
        <w:rPr>
          <w:rStyle w:val="Style17"/>
        </w:rPr>
        <w:footnoteRef/>
      </w:r>
      <w:r>
        <w:rPr/>
        <w:t xml:space="preserve"> </w:t>
      </w:r>
      <w:r>
        <w:rPr/>
        <w:t>Далее - Правила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80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" w:cstheme="minorBidi" w:eastAsia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8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5"/>
    <w:uiPriority w:val="99"/>
    <w:semiHidden/>
    <w:qFormat/>
    <w:rsid w:val="00fa17e3"/>
    <w:rPr>
      <w:sz w:val="20"/>
      <w:szCs w:val="20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fa17e3"/>
    <w:rPr>
      <w:vertAlign w:val="superscript"/>
    </w:rPr>
  </w:style>
  <w:style w:type="character" w:styleId="Style16" w:customStyle="1">
    <w:name w:val="Текст выноски Знак"/>
    <w:basedOn w:val="DefaultParagraphFont"/>
    <w:link w:val="a8"/>
    <w:uiPriority w:val="99"/>
    <w:semiHidden/>
    <w:qFormat/>
    <w:rsid w:val="00880b8c"/>
    <w:rPr>
      <w:rFonts w:ascii="Segoe UI" w:hAnsi="Segoe UI" w:cs="Segoe UI"/>
      <w:sz w:val="18"/>
      <w:szCs w:val="18"/>
    </w:rPr>
  </w:style>
  <w:style w:type="character" w:styleId="Style17">
    <w:name w:val="Символ сноски"/>
    <w:qFormat/>
    <w:rPr/>
  </w:style>
  <w:style w:type="character" w:styleId="Style18">
    <w:name w:val="Привязка концевой сноски"/>
    <w:rPr>
      <w:vertAlign w:val="superscript"/>
    </w:rPr>
  </w:style>
  <w:style w:type="character" w:styleId="Style19">
    <w:name w:val="Символ концевой сноски"/>
    <w:qFormat/>
    <w:rPr/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Style21"/>
    <w:pPr/>
    <w:rPr>
      <w:rFonts w:ascii="PT Astra Serif" w:hAnsi="PT Astra Serif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e219a0"/>
    <w:pPr>
      <w:spacing w:before="0" w:after="160"/>
      <w:ind w:left="720" w:hanging="0"/>
      <w:contextualSpacing/>
    </w:pPr>
    <w:rPr/>
  </w:style>
  <w:style w:type="paragraph" w:styleId="Style25">
    <w:name w:val="Footnote Text"/>
    <w:basedOn w:val="Normal"/>
    <w:link w:val="a6"/>
    <w:uiPriority w:val="99"/>
    <w:semiHidden/>
    <w:unhideWhenUsed/>
    <w:rsid w:val="00fa17e3"/>
    <w:pPr>
      <w:spacing w:lineRule="auto" w:line="240" w:before="0" w:after="0"/>
    </w:pPr>
    <w:rPr>
      <w:sz w:val="20"/>
      <w:szCs w:val="20"/>
    </w:rPr>
  </w:style>
  <w:style w:type="paragraph" w:styleId="ConsPlusTitle" w:customStyle="1">
    <w:name w:val="ConsPlusTitle"/>
    <w:qFormat/>
    <w:rsid w:val="00fa17e3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auto"/>
      <w:kern w:val="0"/>
      <w:sz w:val="28"/>
      <w:szCs w:val="20"/>
      <w:lang w:val="ru-RU" w:eastAsia="ru-RU" w:bidi="ar-SA"/>
    </w:rPr>
  </w:style>
  <w:style w:type="paragraph" w:styleId="BalloonText">
    <w:name w:val="Balloon Text"/>
    <w:basedOn w:val="Normal"/>
    <w:link w:val="a9"/>
    <w:uiPriority w:val="99"/>
    <w:semiHidden/>
    <w:unhideWhenUsed/>
    <w:qFormat/>
    <w:rsid w:val="00880b8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6">
    <w:name w:val="Содержимое таблицы"/>
    <w:basedOn w:val="Normal"/>
    <w:qFormat/>
    <w:pPr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cf4acc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4f57b4"/>
    <w:pPr>
      <w:spacing w:after="0" w:line="240" w:lineRule="auto"/>
    </w:pPr>
    <w:rPr>
      <w:rFonts w:asciiTheme="minorHAnsi" w:hAnsiTheme="minorHAnsi"/>
      <w:sz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2D6-8106-49B7-A46E-7D987F59F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Application>LibreOffice/6.4.7.2$Linux_X86_64 LibreOffice_project/40$Build-2</Application>
  <Pages>4</Pages>
  <Words>1144</Words>
  <Characters>7945</Characters>
  <CharactersWithSpaces>8978</CharactersWithSpaces>
  <Paragraphs>127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2020-07-27T11:04:00Z</dcterms:created>
  <dc:creator>Тимур</dc:creator>
  <dc:description/>
  <dc:language>ru-RU</dc:language>
  <cp:lastModifiedBy/>
  <cp:lastPrinted>2021-06-29T17:23:38Z</cp:lastPrinted>
  <dcterms:modified xsi:type="dcterms:W3CDTF">2023-06-29T12:04:06Z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