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16C" w:rsidRDefault="00B504AE">
      <w:pPr>
        <w:pStyle w:val="ae"/>
        <w:ind w:left="0"/>
        <w:jc w:val="center"/>
      </w:pPr>
      <w:r>
        <w:t>Информационно-аналитические материалы</w:t>
      </w:r>
    </w:p>
    <w:p w:rsidR="00C0016C" w:rsidRDefault="00B504AE">
      <w:pPr>
        <w:pStyle w:val="ae"/>
        <w:ind w:left="0"/>
        <w:jc w:val="center"/>
      </w:pPr>
      <w:r>
        <w:t xml:space="preserve"> о состоянии и проблемных вопросах антитеррористической защищенности объектов топливно-энергетического комплекса Мурманской области</w:t>
      </w:r>
    </w:p>
    <w:p w:rsidR="00C0016C" w:rsidRDefault="00B504AE">
      <w:pPr>
        <w:pStyle w:val="ae"/>
        <w:ind w:left="0"/>
        <w:jc w:val="center"/>
      </w:pPr>
      <w:r>
        <w:t xml:space="preserve"> за первое полугодие 2022 года.</w:t>
      </w:r>
    </w:p>
    <w:p w:rsidR="00C0016C" w:rsidRDefault="00C0016C">
      <w:pPr>
        <w:pStyle w:val="ae"/>
        <w:ind w:left="1080"/>
      </w:pPr>
    </w:p>
    <w:p w:rsidR="00C0016C" w:rsidRDefault="00B504AE">
      <w:pPr>
        <w:pStyle w:val="ae"/>
        <w:numPr>
          <w:ilvl w:val="0"/>
          <w:numId w:val="1"/>
        </w:numPr>
      </w:pPr>
      <w:r>
        <w:t>Статистическая часть</w:t>
      </w:r>
    </w:p>
    <w:tbl>
      <w:tblPr>
        <w:tblStyle w:val="1"/>
        <w:tblW w:w="9190" w:type="dxa"/>
        <w:tblInd w:w="-113" w:type="dxa"/>
        <w:tblLook w:val="04A0" w:firstRow="1" w:lastRow="0" w:firstColumn="1" w:lastColumn="0" w:noHBand="0" w:noVBand="1"/>
      </w:tblPr>
      <w:tblGrid>
        <w:gridCol w:w="829"/>
        <w:gridCol w:w="642"/>
        <w:gridCol w:w="498"/>
        <w:gridCol w:w="4759"/>
        <w:gridCol w:w="1230"/>
        <w:gridCol w:w="1232"/>
      </w:tblGrid>
      <w:tr w:rsidR="00C0016C">
        <w:trPr>
          <w:trHeight w:val="30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№ </w:t>
            </w:r>
            <w:proofErr w:type="gramStart"/>
            <w:r>
              <w:rPr>
                <w:rFonts w:ascii="Calibri" w:hAnsi="Calibri" w:cs="Times New Roman"/>
                <w:b/>
                <w:sz w:val="22"/>
              </w:rPr>
              <w:t>п</w:t>
            </w:r>
            <w:proofErr w:type="gramEnd"/>
            <w:r>
              <w:rPr>
                <w:rFonts w:ascii="Calibri" w:hAnsi="Calibri" w:cs="Times New Roman"/>
                <w:b/>
                <w:sz w:val="22"/>
              </w:rPr>
              <w:t>/п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b/>
                <w:sz w:val="22"/>
              </w:rPr>
              <w:t>Наименование показателя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1-ое полугодие </w:t>
            </w:r>
            <w:r>
              <w:rPr>
                <w:rFonts w:cs="Times New Roman"/>
                <w:b/>
                <w:sz w:val="22"/>
              </w:rPr>
              <w:t>2021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b/>
              </w:rPr>
            </w:pPr>
            <w:r>
              <w:rPr>
                <w:rFonts w:ascii="Calibri" w:hAnsi="Calibri" w:cs="Times New Roman"/>
                <w:b/>
                <w:sz w:val="22"/>
              </w:rPr>
              <w:t xml:space="preserve">1-ое полугодие </w:t>
            </w:r>
            <w:r>
              <w:rPr>
                <w:rFonts w:cs="Times New Roman"/>
                <w:b/>
                <w:sz w:val="22"/>
                <w:lang w:val="en-US"/>
              </w:rPr>
              <w:t>20</w:t>
            </w:r>
            <w:r>
              <w:rPr>
                <w:rFonts w:cs="Times New Roman"/>
                <w:b/>
                <w:sz w:val="22"/>
              </w:rPr>
              <w:t>22</w:t>
            </w:r>
          </w:p>
        </w:tc>
      </w:tr>
      <w:tr w:rsidR="00C0016C">
        <w:trPr>
          <w:trHeight w:val="567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проведенных проверок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38</w:t>
            </w:r>
          </w:p>
        </w:tc>
      </w:tr>
      <w:tr w:rsidR="00C0016C">
        <w:trPr>
          <w:trHeight w:val="30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1.1</w:t>
            </w:r>
          </w:p>
        </w:tc>
        <w:tc>
          <w:tcPr>
            <w:tcW w:w="644" w:type="dxa"/>
            <w:vMerge w:val="restart"/>
            <w:textDirection w:val="btLr"/>
            <w:vAlign w:val="center"/>
          </w:tcPr>
          <w:p w:rsidR="00C0016C" w:rsidRDefault="00B504AE">
            <w:pPr>
              <w:spacing w:after="0" w:line="240" w:lineRule="auto"/>
              <w:ind w:left="113" w:right="113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5265" w:type="dxa"/>
            <w:gridSpan w:val="2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плановых проверок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15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37</w:t>
            </w:r>
          </w:p>
        </w:tc>
      </w:tr>
      <w:tr w:rsidR="00C0016C">
        <w:trPr>
          <w:trHeight w:val="30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1.2.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количество проведенных внеплановых проверок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</w:t>
            </w:r>
          </w:p>
        </w:tc>
      </w:tr>
      <w:tr w:rsidR="00C0016C">
        <w:trPr>
          <w:trHeight w:val="567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выявленных нарушений </w:t>
            </w:r>
            <w:r>
              <w:rPr>
                <w:rFonts w:ascii="Calibri" w:hAnsi="Calibri" w:cs="Times New Roman"/>
                <w:sz w:val="22"/>
              </w:rPr>
              <w:t>обязательных требований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208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40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2.1.</w:t>
            </w:r>
          </w:p>
        </w:tc>
        <w:tc>
          <w:tcPr>
            <w:tcW w:w="644" w:type="dxa"/>
            <w:vMerge w:val="restart"/>
            <w:textDirection w:val="btLr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в том числе</w:t>
            </w:r>
          </w:p>
        </w:tc>
        <w:tc>
          <w:tcPr>
            <w:tcW w:w="5265" w:type="dxa"/>
            <w:gridSpan w:val="2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построению системы физической защиты объекта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4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охраны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197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36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 w:val="restart"/>
            <w:textDirection w:val="btLr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из них</w:t>
            </w: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инженерно-техническим средствам защиты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92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16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2.2.2.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системе охранной </w:t>
            </w:r>
            <w:r>
              <w:rPr>
                <w:rFonts w:ascii="Calibri" w:hAnsi="Calibri" w:cs="Times New Roman"/>
                <w:sz w:val="22"/>
              </w:rPr>
              <w:t>сигнализации объекта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8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2.2.3.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сбора и обработки информации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0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2.2.4.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контроля и управления доступом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9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2.2.5.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специальным техническим средствам досмотра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</w:t>
            </w:r>
          </w:p>
        </w:tc>
      </w:tr>
      <w:tr w:rsidR="00C0016C">
        <w:trPr>
          <w:trHeight w:val="27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2.2.6.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охранной телевизионной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10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1</w:t>
            </w:r>
          </w:p>
        </w:tc>
      </w:tr>
      <w:tr w:rsidR="00C0016C">
        <w:trPr>
          <w:trHeight w:val="33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2.2.7.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к </w:t>
            </w:r>
            <w:r>
              <w:rPr>
                <w:rFonts w:ascii="Calibri" w:hAnsi="Calibri" w:cs="Times New Roman"/>
                <w:sz w:val="22"/>
              </w:rPr>
              <w:t>системе оперативной связи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0</w:t>
            </w:r>
          </w:p>
        </w:tc>
      </w:tr>
      <w:tr w:rsidR="00C0016C">
        <w:trPr>
          <w:trHeight w:val="345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2.2.8.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охранного освещения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3</w:t>
            </w:r>
          </w:p>
        </w:tc>
      </w:tr>
      <w:tr w:rsidR="00C0016C">
        <w:trPr>
          <w:trHeight w:val="36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2.2.9.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оповещения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0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2</w:t>
            </w:r>
          </w:p>
        </w:tc>
      </w:tr>
      <w:tr w:rsidR="00C0016C">
        <w:trPr>
          <w:trHeight w:val="375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2.2.10.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5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4790" w:type="dxa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к системе электропитания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hAnsiTheme="minorHAnsi"/>
                <w:sz w:val="22"/>
              </w:rPr>
            </w:pPr>
            <w:r>
              <w:rPr>
                <w:rFonts w:asciiTheme="minorHAnsi" w:hAnsiTheme="minorHAnsi"/>
                <w:sz w:val="22"/>
              </w:rPr>
              <w:t>0</w:t>
            </w:r>
          </w:p>
        </w:tc>
      </w:tr>
      <w:tr w:rsidR="00C0016C">
        <w:trPr>
          <w:trHeight w:val="300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2.2.11.</w:t>
            </w:r>
          </w:p>
        </w:tc>
        <w:tc>
          <w:tcPr>
            <w:tcW w:w="644" w:type="dxa"/>
            <w:vMerge/>
            <w:vAlign w:val="center"/>
          </w:tcPr>
          <w:p w:rsidR="00C0016C" w:rsidRDefault="00C0016C">
            <w:pPr>
              <w:spacing w:after="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5265" w:type="dxa"/>
            <w:gridSpan w:val="2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иных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sz w:val="22"/>
              </w:rPr>
            </w:pPr>
            <w:r>
              <w:rPr>
                <w:rFonts w:ascii="Calibri" w:hAnsi="Calibri" w:cs="Times New Roman"/>
                <w:sz w:val="22"/>
              </w:rPr>
              <w:t>10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sz w:val="22"/>
              </w:rPr>
            </w:pPr>
            <w:r>
              <w:rPr>
                <w:rFonts w:ascii="Calibri" w:hAnsi="Calibri" w:cs="Times New Roman"/>
                <w:sz w:val="22"/>
              </w:rPr>
              <w:t>0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3.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выданных предписаний об устранении нарушений в обеспечении </w:t>
            </w:r>
            <w:r>
              <w:rPr>
                <w:rFonts w:ascii="Calibri" w:hAnsi="Calibri" w:cs="Times New Roman"/>
                <w:sz w:val="22"/>
              </w:rPr>
              <w:t>безопасности и антитеррористической защищенности объектов ТЭК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11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6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4.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протоколов об административных правонарушениях, предусмотренных статьей 20.30 КоАП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3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3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5.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административных наказаний, назначенных судебны</w:t>
            </w:r>
            <w:r>
              <w:rPr>
                <w:rFonts w:ascii="Calibri" w:hAnsi="Calibri" w:cs="Times New Roman"/>
                <w:sz w:val="22"/>
              </w:rPr>
              <w:t>ми органами по итогам плановых проверок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  <w:lang w:val="en-US"/>
              </w:rPr>
            </w:pPr>
            <w:r>
              <w:rPr>
                <w:rFonts w:ascii="Calibri" w:hAnsi="Calibri" w:cs="Times New Roman"/>
                <w:sz w:val="22"/>
                <w:lang w:val="en-US"/>
              </w:rPr>
              <w:t>0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asciiTheme="minorHAnsi" w:eastAsia="Calibri" w:hAnsiTheme="minorHAnsi" w:cs="Times New Roman"/>
                <w:sz w:val="22"/>
                <w:lang w:val="en-US"/>
              </w:rPr>
            </w:pPr>
            <w:r>
              <w:rPr>
                <w:rFonts w:ascii="Calibri" w:eastAsia="Calibri" w:hAnsi="Calibri" w:cs="Times New Roman"/>
                <w:sz w:val="22"/>
                <w:lang w:val="en-US"/>
              </w:rPr>
              <w:t>1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составленных в отношении должностных лиц протоколов об административных правонарушениях, предусмотренных статьей 19.5 КоАП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7.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 xml:space="preserve">Общее количество административных наказаний, назначенных по </w:t>
            </w:r>
            <w:r>
              <w:rPr>
                <w:rFonts w:ascii="Calibri" w:hAnsi="Calibri" w:cs="Times New Roman"/>
                <w:sz w:val="22"/>
              </w:rPr>
              <w:t>итогам внеплановых проверок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1</w:t>
            </w:r>
          </w:p>
        </w:tc>
      </w:tr>
      <w:tr w:rsidR="00C0016C">
        <w:trPr>
          <w:trHeight w:val="833"/>
        </w:trPr>
        <w:tc>
          <w:tcPr>
            <w:tcW w:w="818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8.</w:t>
            </w:r>
          </w:p>
        </w:tc>
        <w:tc>
          <w:tcPr>
            <w:tcW w:w="5909" w:type="dxa"/>
            <w:gridSpan w:val="3"/>
            <w:vAlign w:val="center"/>
          </w:tcPr>
          <w:p w:rsidR="00C0016C" w:rsidRDefault="00B504AE">
            <w:pPr>
              <w:spacing w:after="0" w:line="240" w:lineRule="auto"/>
              <w:jc w:val="both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Общее количество штатных единиц по должностям, предусматривающим функции по федеральному государственному контролю (надзору)</w:t>
            </w:r>
          </w:p>
        </w:tc>
        <w:tc>
          <w:tcPr>
            <w:tcW w:w="1230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  <w:tc>
          <w:tcPr>
            <w:tcW w:w="1232" w:type="dxa"/>
            <w:vAlign w:val="center"/>
          </w:tcPr>
          <w:p w:rsidR="00C0016C" w:rsidRDefault="00B504AE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ascii="Calibri" w:hAnsi="Calibri" w:cs="Times New Roman"/>
                <w:sz w:val="22"/>
              </w:rPr>
              <w:t>8</w:t>
            </w:r>
          </w:p>
        </w:tc>
      </w:tr>
    </w:tbl>
    <w:p w:rsidR="00C0016C" w:rsidRDefault="00B504AE">
      <w:pPr>
        <w:spacing w:before="240"/>
        <w:ind w:left="1077"/>
        <w:rPr>
          <w:sz w:val="27"/>
          <w:szCs w:val="27"/>
        </w:rPr>
      </w:pPr>
      <w:r>
        <w:rPr>
          <w:sz w:val="27"/>
          <w:szCs w:val="27"/>
          <w:lang w:val="en-US"/>
        </w:rPr>
        <w:lastRenderedPageBreak/>
        <w:t>II</w:t>
      </w:r>
      <w:r>
        <w:rPr>
          <w:sz w:val="27"/>
          <w:szCs w:val="27"/>
        </w:rPr>
        <w:t>. Аналитическая часть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Порядок организации и проведения проверок объектов топливно-энерге</w:t>
      </w:r>
      <w:r>
        <w:rPr>
          <w:sz w:val="27"/>
          <w:szCs w:val="27"/>
        </w:rPr>
        <w:t>тического комплекса</w:t>
      </w:r>
      <w:r>
        <w:rPr>
          <w:rStyle w:val="a4"/>
          <w:sz w:val="27"/>
          <w:szCs w:val="27"/>
        </w:rPr>
        <w:footnoteReference w:id="1"/>
      </w:r>
      <w:r>
        <w:rPr>
          <w:sz w:val="27"/>
          <w:szCs w:val="27"/>
        </w:rPr>
        <w:t xml:space="preserve"> регламентируется Федеральным законом от 21 июля 2011 года № 256-ФЗ «О безопасности объектов ТЭК» и раскрывается положениями постановления Правительства РФ от 20 октября 2016 г. № 1067 «Об утверждении правил осуществления Федеральной сл</w:t>
      </w:r>
      <w:r>
        <w:rPr>
          <w:sz w:val="27"/>
          <w:szCs w:val="27"/>
        </w:rPr>
        <w:t>ужбой войск национальной гвардии Российской Федерации и её территориальными органами федерального государственного контроля (надзора) за обеспечением безопасности объектов ТЭК»:</w:t>
      </w:r>
      <w:proofErr w:type="gramEnd"/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3 раздела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 xml:space="preserve"> данного постановления государственный контроль (надзор</w:t>
      </w:r>
      <w:r>
        <w:rPr>
          <w:sz w:val="27"/>
          <w:szCs w:val="27"/>
        </w:rPr>
        <w:t>) осуществляется путем проведения документарных и выездных проверок, которые могут носить плановый и внеплановый характер.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9 раздела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- плановая проверка в отношении объектов ТЭК проводится не чаще одного раза в год для объектов высокой и средней категории опасности и одного раза в 3 года для объектов низкой категории опасности, начиная </w:t>
      </w:r>
      <w:proofErr w:type="gramStart"/>
      <w:r>
        <w:rPr>
          <w:sz w:val="27"/>
          <w:szCs w:val="27"/>
        </w:rPr>
        <w:t>с даты окончания</w:t>
      </w:r>
      <w:proofErr w:type="gramEnd"/>
      <w:r>
        <w:rPr>
          <w:sz w:val="27"/>
          <w:szCs w:val="27"/>
        </w:rPr>
        <w:t xml:space="preserve"> предыдущей проверки.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Согласно п. </w:t>
      </w:r>
      <w:r>
        <w:rPr>
          <w:sz w:val="27"/>
          <w:szCs w:val="27"/>
        </w:rPr>
        <w:t xml:space="preserve">19 раздела </w:t>
      </w:r>
      <w:r>
        <w:rPr>
          <w:sz w:val="27"/>
          <w:szCs w:val="27"/>
          <w:lang w:val="en-US"/>
        </w:rPr>
        <w:t>III</w:t>
      </w:r>
      <w:r>
        <w:rPr>
          <w:sz w:val="27"/>
          <w:szCs w:val="27"/>
        </w:rPr>
        <w:t xml:space="preserve"> - основаниями для проведения внеплановой проверки являются: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а)</w:t>
      </w:r>
      <w:r>
        <w:rPr>
          <w:sz w:val="27"/>
          <w:szCs w:val="27"/>
        </w:rPr>
        <w:tab/>
        <w:t>истечение срока исполнения выданного предписания об устранении выявленных нарушений;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б)</w:t>
      </w:r>
      <w:r>
        <w:rPr>
          <w:sz w:val="27"/>
          <w:szCs w:val="27"/>
        </w:rPr>
        <w:tab/>
        <w:t>поступление в орган государственного контроля (надзора) обращений и заявлений граждан, юри</w:t>
      </w:r>
      <w:r>
        <w:rPr>
          <w:sz w:val="27"/>
          <w:szCs w:val="27"/>
        </w:rPr>
        <w:t>дических лиц и (или) индивидуальных предпринимателей, информации от органов государственной власти и органов местного самоуправления, из средств массовой информации о причинении вреда жизни, здоровью людей, безопасности государства, повреждении или об унич</w:t>
      </w:r>
      <w:r>
        <w:rPr>
          <w:sz w:val="27"/>
          <w:szCs w:val="27"/>
        </w:rPr>
        <w:t>тожении имущества физических или юридических лиц, государственного или муниципального имущества вследствие совершения акта незаконного вмешательства либо угрозы его совершения</w:t>
      </w:r>
      <w:proofErr w:type="gramEnd"/>
      <w:r>
        <w:rPr>
          <w:sz w:val="27"/>
          <w:szCs w:val="27"/>
        </w:rPr>
        <w:t>, а также неисполнения или ненадлежащего исполнения субъектом ТЭК требований обес</w:t>
      </w:r>
      <w:r>
        <w:rPr>
          <w:sz w:val="27"/>
          <w:szCs w:val="27"/>
        </w:rPr>
        <w:t>печения безопасности;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в)</w:t>
      </w:r>
      <w:r>
        <w:rPr>
          <w:sz w:val="27"/>
          <w:szCs w:val="27"/>
        </w:rPr>
        <w:tab/>
        <w:t>распоряжение руководителя (лица, его замещающего) органа государственного контроля (надзора) о проведении внеплановой проверки, изданное в соответствии с поручениями и указаниями Президента Российской Федерации, поручениями Правите</w:t>
      </w:r>
      <w:r>
        <w:rPr>
          <w:sz w:val="27"/>
          <w:szCs w:val="27"/>
        </w:rPr>
        <w:t>льства Российской Федерации.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соответствии с Перечнем объектов ТЭК Мурманской области, подлежащих категорированию, на территории региона расположено 93 объекта ТЭК, принадлежащие на различных правах 18 юридическим лицам (субъектам ТЭК), которым присвоены </w:t>
      </w:r>
      <w:r>
        <w:rPr>
          <w:sz w:val="27"/>
          <w:szCs w:val="27"/>
        </w:rPr>
        <w:t>категории опасности: 30 объектов – средней категории опасности и 63 – низкой категории опасности, объекты высокой категории опасности на территории Мурманской области отсутствуют.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течение 1-ого полугодия 2022 года отделом государственного контроля Управл</w:t>
      </w:r>
      <w:r>
        <w:rPr>
          <w:sz w:val="27"/>
          <w:szCs w:val="27"/>
        </w:rPr>
        <w:t xml:space="preserve">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по Мурманской области осуществлено </w:t>
      </w:r>
      <w:r>
        <w:rPr>
          <w:sz w:val="27"/>
          <w:szCs w:val="27"/>
        </w:rPr>
        <w:t>37</w:t>
      </w:r>
      <w:r>
        <w:rPr>
          <w:sz w:val="27"/>
          <w:szCs w:val="27"/>
        </w:rPr>
        <w:t xml:space="preserve"> плановых проверок объектов ТЭК, осуществляющих свою деятельность на </w:t>
      </w:r>
      <w:r>
        <w:rPr>
          <w:sz w:val="27"/>
          <w:szCs w:val="27"/>
        </w:rPr>
        <w:lastRenderedPageBreak/>
        <w:t xml:space="preserve">территории Мурманской области, что на </w:t>
      </w:r>
      <w:r>
        <w:rPr>
          <w:sz w:val="27"/>
          <w:szCs w:val="27"/>
        </w:rPr>
        <w:t>22</w:t>
      </w:r>
      <w:r>
        <w:rPr>
          <w:sz w:val="27"/>
          <w:szCs w:val="27"/>
        </w:rPr>
        <w:t xml:space="preserve"> провер</w:t>
      </w:r>
      <w:r>
        <w:rPr>
          <w:sz w:val="27"/>
          <w:szCs w:val="27"/>
        </w:rPr>
        <w:t>ки</w:t>
      </w:r>
      <w:r>
        <w:rPr>
          <w:sz w:val="27"/>
          <w:szCs w:val="27"/>
        </w:rPr>
        <w:t xml:space="preserve"> больше чем в аналогичном периоде прошлого года (</w:t>
      </w:r>
      <w:r>
        <w:rPr>
          <w:sz w:val="27"/>
          <w:szCs w:val="27"/>
        </w:rPr>
        <w:t>15</w:t>
      </w:r>
      <w:r>
        <w:rPr>
          <w:sz w:val="27"/>
          <w:szCs w:val="27"/>
        </w:rPr>
        <w:t>).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Кроме того, в течение 1-ого пол</w:t>
      </w:r>
      <w:r>
        <w:rPr>
          <w:sz w:val="27"/>
          <w:szCs w:val="27"/>
        </w:rPr>
        <w:t>угодия 202</w:t>
      </w:r>
      <w:r>
        <w:rPr>
          <w:sz w:val="27"/>
          <w:szCs w:val="27"/>
        </w:rPr>
        <w:t>2</w:t>
      </w:r>
      <w:r>
        <w:rPr>
          <w:sz w:val="27"/>
          <w:szCs w:val="27"/>
        </w:rPr>
        <w:t xml:space="preserve"> года по истечению сроков выданных предписаний проведен</w:t>
      </w:r>
      <w:r>
        <w:rPr>
          <w:sz w:val="27"/>
          <w:szCs w:val="27"/>
        </w:rPr>
        <w:t>а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внепланов</w:t>
      </w:r>
      <w:r>
        <w:rPr>
          <w:sz w:val="27"/>
          <w:szCs w:val="27"/>
        </w:rPr>
        <w:t>ая</w:t>
      </w:r>
      <w:r>
        <w:rPr>
          <w:sz w:val="27"/>
          <w:szCs w:val="27"/>
        </w:rPr>
        <w:t xml:space="preserve"> провер</w:t>
      </w:r>
      <w:r>
        <w:rPr>
          <w:sz w:val="27"/>
          <w:szCs w:val="27"/>
        </w:rPr>
        <w:t>ка</w:t>
      </w:r>
      <w:r>
        <w:rPr>
          <w:sz w:val="27"/>
          <w:szCs w:val="27"/>
        </w:rPr>
        <w:t>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выявленных нарушений обязательных требований правил по обеспечению безопасности объектов ТЭК, утвержденных постановлением Правительства Российской Федера</w:t>
      </w:r>
      <w:r>
        <w:rPr>
          <w:sz w:val="27"/>
          <w:szCs w:val="27"/>
        </w:rPr>
        <w:t>ции от 05.05.2012 г. № 458дсп «Об утверждении правил по обеспечению безопасности и антитеррористической защищенности объектов топливно-энергетического комплекса»</w:t>
      </w:r>
      <w:r>
        <w:rPr>
          <w:rStyle w:val="a4"/>
          <w:sz w:val="27"/>
          <w:szCs w:val="27"/>
        </w:rPr>
        <w:footnoteReference w:id="2"/>
      </w:r>
      <w:r>
        <w:rPr>
          <w:sz w:val="27"/>
          <w:szCs w:val="27"/>
        </w:rPr>
        <w:t xml:space="preserve">, составило </w:t>
      </w:r>
      <w:r>
        <w:rPr>
          <w:sz w:val="27"/>
          <w:szCs w:val="27"/>
        </w:rPr>
        <w:t>40</w:t>
      </w:r>
      <w:r>
        <w:rPr>
          <w:sz w:val="27"/>
          <w:szCs w:val="27"/>
        </w:rPr>
        <w:t xml:space="preserve"> в 1-ом полугодии 202</w:t>
      </w:r>
      <w:r>
        <w:rPr>
          <w:sz w:val="27"/>
          <w:szCs w:val="27"/>
        </w:rPr>
        <w:t>2</w:t>
      </w:r>
      <w:r>
        <w:rPr>
          <w:sz w:val="27"/>
          <w:szCs w:val="27"/>
        </w:rPr>
        <w:t xml:space="preserve"> года относительно </w:t>
      </w:r>
      <w:r>
        <w:rPr>
          <w:sz w:val="27"/>
          <w:szCs w:val="27"/>
        </w:rPr>
        <w:t>20</w:t>
      </w:r>
      <w:r>
        <w:rPr>
          <w:sz w:val="27"/>
          <w:szCs w:val="27"/>
        </w:rPr>
        <w:t>8, выявленных в 1-ом полугодии 202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года. Предписаний об устранении нарушений в обеспечении безопасности и антитеррористической защищенности объектов ТЭК в отчетном периоде выдано </w:t>
      </w:r>
      <w:r>
        <w:rPr>
          <w:sz w:val="27"/>
          <w:szCs w:val="27"/>
        </w:rPr>
        <w:t>6</w:t>
      </w:r>
      <w:r>
        <w:rPr>
          <w:sz w:val="27"/>
          <w:szCs w:val="27"/>
        </w:rPr>
        <w:t>, в аналогичном периоде 202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года таких предписаний было выдано </w:t>
      </w:r>
      <w:r>
        <w:rPr>
          <w:sz w:val="27"/>
          <w:szCs w:val="27"/>
        </w:rPr>
        <w:t>11</w:t>
      </w:r>
      <w:r>
        <w:rPr>
          <w:sz w:val="27"/>
          <w:szCs w:val="27"/>
        </w:rPr>
        <w:t xml:space="preserve">. 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В отношении юридических и должностных лиц</w:t>
      </w:r>
      <w:r>
        <w:rPr>
          <w:sz w:val="27"/>
          <w:szCs w:val="27"/>
        </w:rPr>
        <w:t xml:space="preserve"> в 1-ом полугодии 202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года составлено 3 протокол</w:t>
      </w:r>
      <w:r>
        <w:rPr>
          <w:sz w:val="27"/>
          <w:szCs w:val="27"/>
        </w:rPr>
        <w:t>а</w:t>
      </w:r>
      <w:r>
        <w:rPr>
          <w:sz w:val="27"/>
          <w:szCs w:val="27"/>
        </w:rPr>
        <w:t xml:space="preserve"> об административных правонарушениях по ст. 20.30 КоАП РФ, в 1-ом полугодии 202</w:t>
      </w:r>
      <w:r>
        <w:rPr>
          <w:sz w:val="27"/>
          <w:szCs w:val="27"/>
        </w:rPr>
        <w:t>2</w:t>
      </w:r>
      <w:r>
        <w:rPr>
          <w:sz w:val="27"/>
          <w:szCs w:val="27"/>
        </w:rPr>
        <w:t xml:space="preserve"> года составлено 3 протокола в отношении двух юридических лиц и одного должностного лица. Кроме того, в 1-ом полугодии 202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го</w:t>
      </w:r>
      <w:r>
        <w:rPr>
          <w:sz w:val="27"/>
          <w:szCs w:val="27"/>
        </w:rPr>
        <w:t xml:space="preserve">да в отношении должностных лиц субъектов ТЭК, ответственных за обеспечение безопасности и антитеррористической защищенности объектов ТЭК, было составлено </w:t>
      </w:r>
      <w:r>
        <w:rPr>
          <w:sz w:val="27"/>
          <w:szCs w:val="27"/>
        </w:rPr>
        <w:t>6</w:t>
      </w:r>
      <w:r>
        <w:rPr>
          <w:sz w:val="27"/>
          <w:szCs w:val="27"/>
        </w:rPr>
        <w:t xml:space="preserve"> протокол</w:t>
      </w:r>
      <w:r>
        <w:rPr>
          <w:sz w:val="27"/>
          <w:szCs w:val="27"/>
        </w:rPr>
        <w:t>ов</w:t>
      </w:r>
      <w:r>
        <w:rPr>
          <w:sz w:val="27"/>
          <w:szCs w:val="27"/>
        </w:rPr>
        <w:t xml:space="preserve"> об административных правонарушениях по ст. 19.5 КоАП РФ, в 1-ом полугодии 202</w:t>
      </w:r>
      <w:r>
        <w:rPr>
          <w:sz w:val="27"/>
          <w:szCs w:val="27"/>
        </w:rPr>
        <w:t>2</w:t>
      </w:r>
      <w:r>
        <w:rPr>
          <w:sz w:val="27"/>
          <w:szCs w:val="27"/>
        </w:rPr>
        <w:t xml:space="preserve"> года </w:t>
      </w:r>
      <w:r>
        <w:rPr>
          <w:sz w:val="27"/>
          <w:szCs w:val="27"/>
        </w:rPr>
        <w:t>–</w:t>
      </w:r>
      <w:r>
        <w:rPr>
          <w:sz w:val="27"/>
          <w:szCs w:val="27"/>
        </w:rPr>
        <w:t xml:space="preserve"> </w:t>
      </w:r>
      <w:r>
        <w:rPr>
          <w:sz w:val="27"/>
          <w:szCs w:val="27"/>
        </w:rPr>
        <w:t>1</w:t>
      </w:r>
      <w:r>
        <w:rPr>
          <w:sz w:val="27"/>
          <w:szCs w:val="27"/>
        </w:rPr>
        <w:t xml:space="preserve"> п</w:t>
      </w:r>
      <w:r>
        <w:rPr>
          <w:sz w:val="27"/>
          <w:szCs w:val="27"/>
        </w:rPr>
        <w:t>ротокол.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Анализ выявленных в результате проведения плановых проверок нарушений показывает, что наиболее </w:t>
      </w:r>
      <w:r>
        <w:rPr>
          <w:sz w:val="27"/>
          <w:szCs w:val="27"/>
        </w:rPr>
        <w:t xml:space="preserve">распространенными являются нарушения обязательных требований к инженерно-техническим средствам защиты – </w:t>
      </w:r>
      <w:r>
        <w:rPr>
          <w:color w:val="000000"/>
          <w:sz w:val="27"/>
          <w:szCs w:val="27"/>
        </w:rPr>
        <w:t>16</w:t>
      </w:r>
      <w:r>
        <w:rPr>
          <w:sz w:val="27"/>
          <w:szCs w:val="27"/>
        </w:rPr>
        <w:t xml:space="preserve">, что составляет </w:t>
      </w:r>
      <w:r>
        <w:rPr>
          <w:color w:val="000000"/>
          <w:sz w:val="27"/>
          <w:szCs w:val="27"/>
        </w:rPr>
        <w:t>40</w:t>
      </w:r>
      <w:r>
        <w:rPr>
          <w:sz w:val="27"/>
          <w:szCs w:val="27"/>
        </w:rPr>
        <w:t>% от общего числа выявленны</w:t>
      </w:r>
      <w:r>
        <w:rPr>
          <w:sz w:val="27"/>
          <w:szCs w:val="27"/>
        </w:rPr>
        <w:t>х нарушений. Наиболее часто встречающимися из них являются нарушения обязательных требований к ограждению объекта, как к основному, так и дополнительному, не соответствие обязательным требованиям запретной зоны, отсутствие предупредительных и запрещающих з</w:t>
      </w:r>
      <w:r>
        <w:rPr>
          <w:sz w:val="27"/>
          <w:szCs w:val="27"/>
        </w:rPr>
        <w:t xml:space="preserve">наков, </w:t>
      </w:r>
      <w:proofErr w:type="gramStart"/>
      <w:r>
        <w:rPr>
          <w:sz w:val="27"/>
          <w:szCs w:val="27"/>
        </w:rPr>
        <w:t>не соответствие</w:t>
      </w:r>
      <w:proofErr w:type="gramEnd"/>
      <w:r>
        <w:rPr>
          <w:sz w:val="27"/>
          <w:szCs w:val="27"/>
        </w:rPr>
        <w:t xml:space="preserve"> обязательным требованиям оборудования КПП объектов. Ещё одним из распространённых нарушений является нарушение обязательных требований к системе охранной сигнализации объекта – </w:t>
      </w:r>
      <w:r>
        <w:rPr>
          <w:color w:val="000000"/>
          <w:sz w:val="27"/>
          <w:szCs w:val="27"/>
        </w:rPr>
        <w:t>8</w:t>
      </w:r>
      <w:r>
        <w:rPr>
          <w:sz w:val="27"/>
          <w:szCs w:val="27"/>
        </w:rPr>
        <w:t xml:space="preserve"> или </w:t>
      </w:r>
      <w:r>
        <w:rPr>
          <w:color w:val="000000"/>
          <w:sz w:val="27"/>
          <w:szCs w:val="27"/>
        </w:rPr>
        <w:t>20</w:t>
      </w:r>
      <w:r>
        <w:rPr>
          <w:sz w:val="27"/>
          <w:szCs w:val="27"/>
        </w:rPr>
        <w:t>%.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>По результатам внепланов</w:t>
      </w:r>
      <w:r>
        <w:rPr>
          <w:sz w:val="27"/>
          <w:szCs w:val="27"/>
        </w:rPr>
        <w:t>ой</w:t>
      </w:r>
      <w:r>
        <w:rPr>
          <w:sz w:val="27"/>
          <w:szCs w:val="27"/>
        </w:rPr>
        <w:t xml:space="preserve"> провер</w:t>
      </w:r>
      <w:r>
        <w:rPr>
          <w:sz w:val="27"/>
          <w:szCs w:val="27"/>
        </w:rPr>
        <w:t>ки</w:t>
      </w:r>
      <w:r>
        <w:rPr>
          <w:sz w:val="27"/>
          <w:szCs w:val="27"/>
        </w:rPr>
        <w:t xml:space="preserve"> в 1-ом по</w:t>
      </w:r>
      <w:r>
        <w:rPr>
          <w:sz w:val="27"/>
          <w:szCs w:val="27"/>
        </w:rPr>
        <w:t>лугодии 202</w:t>
      </w:r>
      <w:r>
        <w:rPr>
          <w:sz w:val="27"/>
          <w:szCs w:val="27"/>
        </w:rPr>
        <w:t>2</w:t>
      </w:r>
      <w:r>
        <w:rPr>
          <w:sz w:val="27"/>
          <w:szCs w:val="27"/>
        </w:rPr>
        <w:t xml:space="preserve"> года установлено, что имеющиеся нарушения в антитеррористической защищённости 1 объект</w:t>
      </w:r>
      <w:r>
        <w:rPr>
          <w:sz w:val="27"/>
          <w:szCs w:val="27"/>
        </w:rPr>
        <w:t>а</w:t>
      </w:r>
      <w:r>
        <w:rPr>
          <w:sz w:val="27"/>
          <w:szCs w:val="27"/>
        </w:rPr>
        <w:t xml:space="preserve"> ТЭК, находящ</w:t>
      </w:r>
      <w:r>
        <w:rPr>
          <w:sz w:val="27"/>
          <w:szCs w:val="27"/>
        </w:rPr>
        <w:t>его</w:t>
      </w:r>
      <w:r>
        <w:rPr>
          <w:sz w:val="27"/>
          <w:szCs w:val="27"/>
        </w:rPr>
        <w:t>ся в веден</w:t>
      </w:r>
      <w:proofErr w:type="gramStart"/>
      <w:r>
        <w:rPr>
          <w:sz w:val="27"/>
          <w:szCs w:val="27"/>
        </w:rPr>
        <w:t>ии АО</w:t>
      </w:r>
      <w:proofErr w:type="gramEnd"/>
      <w:r>
        <w:rPr>
          <w:sz w:val="27"/>
          <w:szCs w:val="27"/>
        </w:rPr>
        <w:t xml:space="preserve"> «</w:t>
      </w:r>
      <w:proofErr w:type="spellStart"/>
      <w:r>
        <w:rPr>
          <w:sz w:val="27"/>
          <w:szCs w:val="27"/>
        </w:rPr>
        <w:t>Мурман</w:t>
      </w:r>
      <w:r>
        <w:rPr>
          <w:sz w:val="27"/>
          <w:szCs w:val="27"/>
        </w:rPr>
        <w:t>облгаз</w:t>
      </w:r>
      <w:proofErr w:type="spellEnd"/>
      <w:r>
        <w:rPr>
          <w:sz w:val="27"/>
          <w:szCs w:val="27"/>
        </w:rPr>
        <w:t>», не устранены. В связи с этим на должностное лицо АО «</w:t>
      </w:r>
      <w:proofErr w:type="spellStart"/>
      <w:r>
        <w:rPr>
          <w:sz w:val="27"/>
          <w:szCs w:val="27"/>
        </w:rPr>
        <w:t>Мурман</w:t>
      </w:r>
      <w:r>
        <w:rPr>
          <w:sz w:val="27"/>
          <w:szCs w:val="27"/>
        </w:rPr>
        <w:t>облгаз</w:t>
      </w:r>
      <w:proofErr w:type="spellEnd"/>
      <w:r>
        <w:rPr>
          <w:sz w:val="27"/>
          <w:szCs w:val="27"/>
        </w:rPr>
        <w:t>» составлен и рассмотрен протокол об админи</w:t>
      </w:r>
      <w:r>
        <w:rPr>
          <w:sz w:val="27"/>
          <w:szCs w:val="27"/>
        </w:rPr>
        <w:t>стративн</w:t>
      </w:r>
      <w:r>
        <w:rPr>
          <w:sz w:val="27"/>
          <w:szCs w:val="27"/>
        </w:rPr>
        <w:t>ом</w:t>
      </w:r>
      <w:r>
        <w:rPr>
          <w:sz w:val="27"/>
          <w:szCs w:val="27"/>
        </w:rPr>
        <w:t xml:space="preserve"> правонарушени</w:t>
      </w:r>
      <w:r>
        <w:rPr>
          <w:sz w:val="27"/>
          <w:szCs w:val="27"/>
        </w:rPr>
        <w:t>и</w:t>
      </w:r>
      <w:r>
        <w:rPr>
          <w:sz w:val="27"/>
          <w:szCs w:val="27"/>
        </w:rPr>
        <w:t xml:space="preserve"> по ст. 19.5 КоАП РФ, должностное лицо привлечено к административной ответственности.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proofErr w:type="gramStart"/>
      <w:r>
        <w:rPr>
          <w:sz w:val="27"/>
          <w:szCs w:val="27"/>
        </w:rPr>
        <w:t>В целом устранение выявленных нарушений на объектах ТЭК осуществляется в рамках выданных предписаний и в строгом соответствии с требованиями Феде</w:t>
      </w:r>
      <w:r>
        <w:rPr>
          <w:sz w:val="27"/>
          <w:szCs w:val="27"/>
        </w:rPr>
        <w:t xml:space="preserve">рального закона от 21 июля 2011 года № 256-ФЗ «О безопасности объектов топливно-энергетического комплекса», постановления Правительства РФ от 20 октября 2016 г. № 1067 «Об утверждении правил </w:t>
      </w:r>
      <w:r>
        <w:rPr>
          <w:sz w:val="27"/>
          <w:szCs w:val="27"/>
        </w:rPr>
        <w:lastRenderedPageBreak/>
        <w:t>осуществления Федеральной службой войск национальной гвардии Росс</w:t>
      </w:r>
      <w:r>
        <w:rPr>
          <w:sz w:val="27"/>
          <w:szCs w:val="27"/>
        </w:rPr>
        <w:t>ийской Федерации и её территориальными органами федерального государственного контроля (надзора</w:t>
      </w:r>
      <w:proofErr w:type="gramEnd"/>
      <w:r>
        <w:rPr>
          <w:sz w:val="27"/>
          <w:szCs w:val="27"/>
        </w:rPr>
        <w:t>) за обеспечением безопасности объектов ТЭК».</w:t>
      </w:r>
    </w:p>
    <w:p w:rsidR="00C0016C" w:rsidRDefault="00B504AE">
      <w:pPr>
        <w:spacing w:after="0"/>
        <w:ind w:firstLine="851"/>
        <w:jc w:val="both"/>
        <w:rPr>
          <w:sz w:val="27"/>
          <w:szCs w:val="27"/>
        </w:rPr>
      </w:pPr>
      <w:r>
        <w:rPr>
          <w:sz w:val="27"/>
          <w:szCs w:val="27"/>
        </w:rPr>
        <w:t>Проблемным вопросом в обеспечении безопасности объектов ТЭК остается сложность в устранении таких нарушений, как ус</w:t>
      </w:r>
      <w:r>
        <w:rPr>
          <w:sz w:val="27"/>
          <w:szCs w:val="27"/>
        </w:rPr>
        <w:t>тановка СКУД, охранного телевидения, охранной сигнализации, организация физической защиты объекта.</w:t>
      </w:r>
    </w:p>
    <w:p w:rsidR="00C0016C" w:rsidRDefault="00B504AE">
      <w:pPr>
        <w:spacing w:after="0" w:line="240" w:lineRule="auto"/>
        <w:ind w:firstLine="902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настоящее время на контроле Управления </w:t>
      </w:r>
      <w:proofErr w:type="spellStart"/>
      <w:r>
        <w:rPr>
          <w:sz w:val="27"/>
          <w:szCs w:val="27"/>
        </w:rPr>
        <w:t>Росгвардии</w:t>
      </w:r>
      <w:proofErr w:type="spellEnd"/>
      <w:r>
        <w:rPr>
          <w:sz w:val="27"/>
          <w:szCs w:val="27"/>
        </w:rPr>
        <w:t xml:space="preserve"> по Мурманской области находится деятельность подконтрольных субъектов ТЭК по исполнению </w:t>
      </w:r>
      <w:r>
        <w:rPr>
          <w:color w:val="000000"/>
          <w:sz w:val="27"/>
          <w:szCs w:val="27"/>
        </w:rPr>
        <w:t>38</w:t>
      </w:r>
      <w:bookmarkStart w:id="0" w:name="_GoBack"/>
      <w:bookmarkEnd w:id="0"/>
      <w:r>
        <w:rPr>
          <w:sz w:val="27"/>
          <w:szCs w:val="27"/>
        </w:rPr>
        <w:t xml:space="preserve"> предписаний об</w:t>
      </w:r>
      <w:r>
        <w:rPr>
          <w:sz w:val="27"/>
          <w:szCs w:val="27"/>
        </w:rPr>
        <w:t xml:space="preserve"> устранении нарушений обязательных требований Правил.</w:t>
      </w:r>
    </w:p>
    <w:p w:rsidR="00C0016C" w:rsidRDefault="00C0016C">
      <w:pPr>
        <w:spacing w:after="0"/>
        <w:ind w:firstLine="540"/>
        <w:jc w:val="both"/>
        <w:rPr>
          <w:szCs w:val="28"/>
        </w:rPr>
      </w:pPr>
    </w:p>
    <w:p w:rsidR="00C0016C" w:rsidRDefault="00B504AE">
      <w:pPr>
        <w:spacing w:after="0" w:line="240" w:lineRule="auto"/>
        <w:ind w:firstLine="708"/>
        <w:jc w:val="both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Рекомендации в отношении мер, которые должны приниматься субъектами ТЭК в целях недопущения данных нарушений.</w:t>
      </w:r>
    </w:p>
    <w:p w:rsidR="00C0016C" w:rsidRDefault="00C0016C">
      <w:pPr>
        <w:spacing w:after="0" w:line="240" w:lineRule="auto"/>
        <w:ind w:firstLine="902"/>
        <w:jc w:val="both"/>
      </w:pPr>
    </w:p>
    <w:p w:rsidR="00C0016C" w:rsidRDefault="00B504AE">
      <w:pPr>
        <w:shd w:val="clear" w:color="auto" w:fill="FFFFFF"/>
        <w:spacing w:after="0" w:line="240" w:lineRule="auto"/>
        <w:ind w:firstLine="708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качестве рекомендаций в отношении мер, которые должны приниматься юридическими лицами, </w:t>
      </w:r>
      <w:r>
        <w:rPr>
          <w:rFonts w:eastAsia="Times New Roman" w:cs="Times New Roman"/>
          <w:szCs w:val="28"/>
          <w:lang w:eastAsia="ru-RU"/>
        </w:rPr>
        <w:t>индивидуальными предпринимателями в целях недопущения наиболее типичных нарушений, выявленных подразделением государственного контроля в 202</w:t>
      </w:r>
      <w:r>
        <w:rPr>
          <w:rFonts w:eastAsia="Times New Roman" w:cs="Times New Roman"/>
          <w:szCs w:val="28"/>
          <w:lang w:eastAsia="ru-RU"/>
        </w:rPr>
        <w:t>1</w:t>
      </w:r>
      <w:r>
        <w:rPr>
          <w:rFonts w:eastAsia="Times New Roman" w:cs="Times New Roman"/>
          <w:szCs w:val="28"/>
          <w:lang w:eastAsia="ru-RU"/>
        </w:rPr>
        <w:t xml:space="preserve"> году, следует считать выполнение субъектами ТЭК мероприятий, направленных на обеспечение соблюдения законодательст</w:t>
      </w:r>
      <w:r>
        <w:rPr>
          <w:rFonts w:eastAsia="Times New Roman" w:cs="Times New Roman"/>
          <w:szCs w:val="28"/>
          <w:lang w:eastAsia="ru-RU"/>
        </w:rPr>
        <w:t>ва в области безопасности и антитеррористической защищенности объектов ТЭК, а также приведение системы физической защиты объектов в соответствие с требованиями постановления Правительства Российской Федерации от 5 мая 2012 года      № 458дсп «Об утверждени</w:t>
      </w:r>
      <w:r>
        <w:rPr>
          <w:rFonts w:eastAsia="Times New Roman" w:cs="Times New Roman"/>
          <w:szCs w:val="28"/>
          <w:lang w:eastAsia="ru-RU"/>
        </w:rPr>
        <w:t>и Правил по обеспечению безопасности и антитеррористической защищенности объектов топливно-энергетического комплекса».</w:t>
      </w:r>
    </w:p>
    <w:p w:rsidR="00C0016C" w:rsidRDefault="00B504AE">
      <w:pPr>
        <w:spacing w:after="0" w:line="240" w:lineRule="auto"/>
        <w:ind w:firstLine="902"/>
        <w:jc w:val="both"/>
      </w:pPr>
      <w:r>
        <w:t>С целью своевременного выявления недостатков в антитеррористической защищенности объектов ТЭК субъектам ТЭК необходимо обеспечить проведе</w:t>
      </w:r>
      <w:r>
        <w:t>ние комиссионных обследований объектов, находящихся в их ведении, в соответствии с требованиями законодательства РФ.</w:t>
      </w:r>
    </w:p>
    <w:p w:rsidR="00C0016C" w:rsidRDefault="00C0016C">
      <w:pPr>
        <w:spacing w:after="0" w:line="240" w:lineRule="auto"/>
        <w:ind w:firstLine="902"/>
        <w:jc w:val="both"/>
      </w:pPr>
    </w:p>
    <w:p w:rsidR="00C0016C" w:rsidRDefault="00C0016C">
      <w:pPr>
        <w:spacing w:after="0" w:line="240" w:lineRule="auto"/>
        <w:ind w:firstLine="902"/>
        <w:jc w:val="both"/>
      </w:pPr>
    </w:p>
    <w:p w:rsidR="00C0016C" w:rsidRDefault="00C0016C">
      <w:pPr>
        <w:spacing w:after="0" w:line="240" w:lineRule="auto"/>
        <w:ind w:firstLine="902"/>
        <w:jc w:val="both"/>
      </w:pPr>
    </w:p>
    <w:p w:rsidR="00C0016C" w:rsidRDefault="00B504AE">
      <w:pPr>
        <w:spacing w:after="0" w:line="240" w:lineRule="auto"/>
        <w:jc w:val="both"/>
        <w:rPr>
          <w:b/>
        </w:rPr>
      </w:pPr>
      <w:r>
        <w:rPr>
          <w:b/>
        </w:rPr>
        <w:t xml:space="preserve">ОГК Управления </w:t>
      </w:r>
      <w:proofErr w:type="spellStart"/>
      <w:r>
        <w:rPr>
          <w:b/>
        </w:rPr>
        <w:t>Росгвардии</w:t>
      </w:r>
      <w:proofErr w:type="spellEnd"/>
      <w:r>
        <w:rPr>
          <w:b/>
        </w:rPr>
        <w:t xml:space="preserve"> по Мурманской области</w:t>
      </w:r>
    </w:p>
    <w:sectPr w:rsidR="00C0016C">
      <w:pgSz w:w="11906" w:h="16838"/>
      <w:pgMar w:top="1134" w:right="850" w:bottom="1134" w:left="1701" w:header="0" w:footer="0" w:gutter="0"/>
      <w:cols w:space="720"/>
      <w:formProt w:val="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504AE">
      <w:pPr>
        <w:spacing w:after="0" w:line="240" w:lineRule="auto"/>
      </w:pPr>
      <w:r>
        <w:separator/>
      </w:r>
    </w:p>
  </w:endnote>
  <w:endnote w:type="continuationSeparator" w:id="0">
    <w:p w:rsidR="00000000" w:rsidRDefault="00B50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16C" w:rsidRDefault="00B504AE">
      <w:pPr>
        <w:rPr>
          <w:sz w:val="12"/>
        </w:rPr>
      </w:pPr>
      <w:r>
        <w:separator/>
      </w:r>
    </w:p>
  </w:footnote>
  <w:footnote w:type="continuationSeparator" w:id="0">
    <w:p w:rsidR="00C0016C" w:rsidRDefault="00B504AE">
      <w:pPr>
        <w:rPr>
          <w:sz w:val="12"/>
        </w:rPr>
      </w:pPr>
      <w:r>
        <w:continuationSeparator/>
      </w:r>
    </w:p>
  </w:footnote>
  <w:footnote w:id="1">
    <w:p w:rsidR="00C0016C" w:rsidRDefault="00B504AE">
      <w:pPr>
        <w:pStyle w:val="af"/>
      </w:pPr>
      <w:r>
        <w:rPr>
          <w:rStyle w:val="a6"/>
        </w:rPr>
        <w:footnoteRef/>
      </w:r>
      <w:r>
        <w:t xml:space="preserve"> Далее – </w:t>
      </w:r>
      <w:r>
        <w:t>«ТЭК».</w:t>
      </w:r>
    </w:p>
  </w:footnote>
  <w:footnote w:id="2">
    <w:p w:rsidR="00C0016C" w:rsidRDefault="00B504AE">
      <w:pPr>
        <w:pStyle w:val="af"/>
      </w:pPr>
      <w:r>
        <w:rPr>
          <w:rStyle w:val="a6"/>
        </w:rPr>
        <w:footnoteRef/>
      </w:r>
      <w:r>
        <w:t xml:space="preserve"> Далее - Правила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253F8"/>
    <w:multiLevelType w:val="multilevel"/>
    <w:tmpl w:val="1406AED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FC64BF1"/>
    <w:multiLevelType w:val="multilevel"/>
    <w:tmpl w:val="67E2DCC6"/>
    <w:lvl w:ilvl="0">
      <w:start w:val="1"/>
      <w:numFmt w:val="upperRoman"/>
      <w:lvlText w:val="%1."/>
      <w:lvlJc w:val="left"/>
      <w:pPr>
        <w:tabs>
          <w:tab w:val="num" w:pos="0"/>
        </w:tabs>
        <w:ind w:left="180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6C"/>
    <w:rsid w:val="00B504AE"/>
    <w:rsid w:val="00C0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uiPriority w:val="99"/>
    <w:semiHidden/>
    <w:qFormat/>
    <w:rsid w:val="00FA17E3"/>
    <w:rPr>
      <w:sz w:val="20"/>
      <w:szCs w:val="20"/>
    </w:rPr>
  </w:style>
  <w:style w:type="character" w:customStyle="1" w:styleId="a4">
    <w:name w:val="Привязка сноски"/>
    <w:rPr>
      <w:vertAlign w:val="superscript"/>
    </w:rPr>
  </w:style>
  <w:style w:type="character" w:customStyle="1" w:styleId="FootnoteCharacters">
    <w:name w:val="Footnote Characters"/>
    <w:basedOn w:val="a0"/>
    <w:uiPriority w:val="99"/>
    <w:semiHidden/>
    <w:unhideWhenUsed/>
    <w:qFormat/>
    <w:rsid w:val="00FA17E3"/>
    <w:rPr>
      <w:vertAlign w:val="superscript"/>
    </w:rPr>
  </w:style>
  <w:style w:type="character" w:customStyle="1" w:styleId="a5">
    <w:name w:val="Текст выноски Знак"/>
    <w:basedOn w:val="a0"/>
    <w:uiPriority w:val="99"/>
    <w:semiHidden/>
    <w:qFormat/>
    <w:rsid w:val="00880B8C"/>
    <w:rPr>
      <w:rFonts w:ascii="Segoe UI" w:hAnsi="Segoe UI" w:cs="Segoe UI"/>
      <w:sz w:val="18"/>
      <w:szCs w:val="18"/>
    </w:rPr>
  </w:style>
  <w:style w:type="character" w:customStyle="1" w:styleId="a6">
    <w:name w:val="Символ сноски"/>
    <w:qFormat/>
  </w:style>
  <w:style w:type="character" w:customStyle="1" w:styleId="a7">
    <w:name w:val="Привязка концевой сноски"/>
    <w:rPr>
      <w:vertAlign w:val="superscript"/>
    </w:rPr>
  </w:style>
  <w:style w:type="character" w:customStyle="1" w:styleId="a8">
    <w:name w:val="Символ концевой сноски"/>
    <w:qFormat/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PT Astra Serif" w:eastAsia="Tahoma" w:hAnsi="PT Astra Serif" w:cs="Noto Sans Devanagari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ascii="PT Astra Serif" w:hAnsi="PT Astra Serif" w:cs="Noto Sans Devanagari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d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e">
    <w:name w:val="List Paragraph"/>
    <w:basedOn w:val="a"/>
    <w:uiPriority w:val="34"/>
    <w:qFormat/>
    <w:rsid w:val="00E219A0"/>
    <w:pPr>
      <w:ind w:left="720"/>
      <w:contextualSpacing/>
    </w:pPr>
  </w:style>
  <w:style w:type="paragraph" w:styleId="af">
    <w:name w:val="footnote text"/>
    <w:basedOn w:val="a"/>
    <w:uiPriority w:val="99"/>
    <w:semiHidden/>
    <w:unhideWhenUsed/>
    <w:rsid w:val="00FA17E3"/>
    <w:pPr>
      <w:spacing w:after="0" w:line="240" w:lineRule="auto"/>
    </w:pPr>
    <w:rPr>
      <w:sz w:val="20"/>
      <w:szCs w:val="20"/>
    </w:rPr>
  </w:style>
  <w:style w:type="paragraph" w:customStyle="1" w:styleId="ConsPlusTitle">
    <w:name w:val="ConsPlusTitle"/>
    <w:qFormat/>
    <w:rsid w:val="00FA17E3"/>
    <w:pPr>
      <w:widowControl w:val="0"/>
    </w:pPr>
    <w:rPr>
      <w:rFonts w:eastAsia="Times New Roman" w:cs="Times New Roman"/>
      <w:b/>
      <w:sz w:val="28"/>
      <w:szCs w:val="20"/>
      <w:lang w:eastAsia="ru-RU"/>
    </w:rPr>
  </w:style>
  <w:style w:type="paragraph" w:styleId="af0">
    <w:name w:val="Balloon Text"/>
    <w:basedOn w:val="a"/>
    <w:uiPriority w:val="99"/>
    <w:semiHidden/>
    <w:unhideWhenUsed/>
    <w:qFormat/>
    <w:rsid w:val="00880B8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1">
    <w:name w:val="Содержимое таблицы"/>
    <w:basedOn w:val="a"/>
    <w:qFormat/>
    <w:pPr>
      <w:suppressLineNumbers/>
    </w:pPr>
  </w:style>
  <w:style w:type="paragraph" w:customStyle="1" w:styleId="af2">
    <w:name w:val="Заголовок таблицы"/>
    <w:basedOn w:val="af1"/>
    <w:qFormat/>
    <w:pPr>
      <w:jc w:val="center"/>
    </w:pPr>
    <w:rPr>
      <w:b/>
      <w:bCs/>
    </w:rPr>
  </w:style>
  <w:style w:type="table" w:styleId="af3">
    <w:name w:val="Table Grid"/>
    <w:basedOn w:val="a1"/>
    <w:uiPriority w:val="39"/>
    <w:rsid w:val="00CF4A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4F57B4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3F5BA-C702-4085-A346-29D47F62B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1379</Words>
  <Characters>7862</Characters>
  <Application>Microsoft Office Word</Application>
  <DocSecurity>0</DocSecurity>
  <Lines>65</Lines>
  <Paragraphs>18</Paragraphs>
  <ScaleCrop>false</ScaleCrop>
  <Company>Hewlett-Packard Company</Company>
  <LinksUpToDate>false</LinksUpToDate>
  <CharactersWithSpaces>9223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Тимур</dc:creator>
  <dc:description/>
  <cp:lastModifiedBy>rosgvard</cp:lastModifiedBy>
  <cp:revision>10</cp:revision>
  <cp:lastPrinted>2021-06-29T17:23:00Z</cp:lastPrinted>
  <dcterms:created xsi:type="dcterms:W3CDTF">2020-07-27T11:04:00Z</dcterms:created>
  <dcterms:modified xsi:type="dcterms:W3CDTF">2022-06-30T08:35:00Z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 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